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Default="009871C9"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97450B">
        <w:rPr>
          <w:rFonts w:ascii="Arial" w:hAnsi="Arial" w:cs="Arial"/>
          <w:color w:val="000000" w:themeColor="text1"/>
          <w:sz w:val="20"/>
          <w:szCs w:val="20"/>
        </w:rPr>
        <w:t>63</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7E545B">
        <w:trPr>
          <w:trHeight w:val="3372"/>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7E545B" w:rsidRDefault="007E545B" w:rsidP="008F4915">
            <w:pPr>
              <w:snapToGrid w:val="0"/>
              <w:rPr>
                <w:rFonts w:ascii="Arial" w:hAnsi="Arial" w:cs="Arial"/>
                <w:sz w:val="20"/>
                <w:szCs w:val="20"/>
              </w:rPr>
            </w:pPr>
          </w:p>
          <w:p w:rsidR="007E545B" w:rsidRDefault="007E545B"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31FF3FE3" wp14:editId="2842AA01">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2080A73B" wp14:editId="029C4520">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7E545B" w:rsidTr="008F4915">
        <w:tc>
          <w:tcPr>
            <w:tcW w:w="3261" w:type="dxa"/>
            <w:shd w:val="clear" w:color="auto" w:fill="E5DFEC"/>
            <w:vAlign w:val="center"/>
          </w:tcPr>
          <w:p w:rsidR="003F7899" w:rsidRPr="007E545B" w:rsidRDefault="003F7899" w:rsidP="008F4915">
            <w:pPr>
              <w:snapToGrid w:val="0"/>
              <w:rPr>
                <w:rFonts w:ascii="Arial" w:hAnsi="Arial" w:cs="Arial"/>
                <w:b/>
                <w:sz w:val="20"/>
                <w:szCs w:val="20"/>
              </w:rPr>
            </w:pPr>
            <w:r w:rsidRPr="007E545B">
              <w:rPr>
                <w:rFonts w:ascii="Arial" w:hAnsi="Arial" w:cs="Arial"/>
                <w:b/>
                <w:sz w:val="20"/>
                <w:szCs w:val="20"/>
              </w:rPr>
              <w:t>Citi uzņēmēji:</w:t>
            </w:r>
          </w:p>
          <w:p w:rsidR="003F7899" w:rsidRPr="007E545B" w:rsidRDefault="003F7899" w:rsidP="008F4915">
            <w:pPr>
              <w:rPr>
                <w:rFonts w:ascii="Arial" w:hAnsi="Arial" w:cs="Arial"/>
                <w:i/>
                <w:sz w:val="20"/>
                <w:szCs w:val="20"/>
              </w:rPr>
            </w:pPr>
            <w:r w:rsidRPr="007E545B">
              <w:rPr>
                <w:rFonts w:ascii="Arial" w:hAnsi="Arial" w:cs="Arial"/>
                <w:sz w:val="20"/>
                <w:szCs w:val="20"/>
              </w:rPr>
              <w:t>(uz kuru iespējām konkrētā līguma izpildei balstās pretendents, saskaņā ar Nolikuma noteikumiem)</w:t>
            </w:r>
          </w:p>
        </w:tc>
        <w:tc>
          <w:tcPr>
            <w:tcW w:w="6378" w:type="dxa"/>
          </w:tcPr>
          <w:p w:rsidR="003F7899" w:rsidRPr="007E545B" w:rsidRDefault="003F7899" w:rsidP="008F4915">
            <w:pPr>
              <w:snapToGrid w:val="0"/>
              <w:rPr>
                <w:rFonts w:ascii="Arial" w:hAnsi="Arial" w:cs="Arial"/>
                <w:i/>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97450B">
        <w:rPr>
          <w:rFonts w:cs="Arial"/>
          <w:szCs w:val="20"/>
        </w:rPr>
        <w:t>ājs) organizētā iepirkuma</w:t>
      </w:r>
      <w:r w:rsidRPr="003F7899">
        <w:rPr>
          <w:rFonts w:cs="Arial"/>
          <w:szCs w:val="20"/>
        </w:rPr>
        <w:t xml:space="preserve"> </w:t>
      </w:r>
      <w:r w:rsidR="00DF228A" w:rsidRPr="001124FA">
        <w:rPr>
          <w:rFonts w:cs="Arial"/>
          <w:bCs/>
          <w:iCs/>
          <w:szCs w:val="20"/>
        </w:rPr>
        <w:t>“</w:t>
      </w:r>
      <w:r w:rsidR="0097450B">
        <w:rPr>
          <w:rFonts w:cs="Arial"/>
          <w:bCs/>
          <w:iCs/>
          <w:szCs w:val="20"/>
        </w:rPr>
        <w:t xml:space="preserve">Kapličas jaunbūve Zaļenieku pagastā”, </w:t>
      </w:r>
      <w:r w:rsidR="00DF228A" w:rsidRPr="001124FA">
        <w:rPr>
          <w:rFonts w:cs="Arial"/>
          <w:szCs w:val="20"/>
        </w:rPr>
        <w:t>ID. Nr. JNP 2017/</w:t>
      </w:r>
      <w:r w:rsidR="0097450B">
        <w:rPr>
          <w:rFonts w:cs="Arial"/>
          <w:szCs w:val="20"/>
        </w:rPr>
        <w:t>63</w:t>
      </w:r>
      <w:r w:rsidR="0064229B">
        <w:rPr>
          <w:rFonts w:cs="Arial"/>
          <w:szCs w:val="20"/>
        </w:rPr>
        <w:t>,</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r w:rsidR="0097450B">
        <w:rPr>
          <w:rFonts w:cs="Arial"/>
          <w:szCs w:val="20"/>
        </w:rPr>
        <w:t>veikt iepirkuma</w:t>
      </w:r>
      <w:r w:rsidR="00DF228A">
        <w:rPr>
          <w:rFonts w:cs="Arial"/>
          <w:szCs w:val="20"/>
        </w:rPr>
        <w:t xml:space="preserve"> </w:t>
      </w:r>
      <w:r w:rsidR="00DF228A" w:rsidRPr="001124FA">
        <w:rPr>
          <w:rFonts w:cs="Arial"/>
          <w:bCs/>
          <w:iCs/>
          <w:szCs w:val="20"/>
        </w:rPr>
        <w:t>“</w:t>
      </w:r>
      <w:r w:rsidR="0097450B">
        <w:rPr>
          <w:rFonts w:cs="Arial"/>
          <w:bCs/>
          <w:iCs/>
          <w:szCs w:val="20"/>
        </w:rPr>
        <w:t>Kapličas jaunbūve Zaļenieku pagastā”</w:t>
      </w:r>
      <w:r w:rsidR="0097450B">
        <w:rPr>
          <w:rFonts w:cs="Arial"/>
          <w:szCs w:val="20"/>
        </w:rPr>
        <w:t xml:space="preserve">, </w:t>
      </w:r>
      <w:r w:rsidR="00DF228A" w:rsidRPr="001124FA">
        <w:rPr>
          <w:rFonts w:cs="Arial"/>
          <w:szCs w:val="20"/>
        </w:rPr>
        <w:t>Nr. JNP 2017/</w:t>
      </w:r>
      <w:r w:rsidR="0097450B">
        <w:rPr>
          <w:rFonts w:cs="Arial"/>
          <w:szCs w:val="20"/>
        </w:rPr>
        <w:t>63</w:t>
      </w:r>
      <w:r w:rsidR="00DA3ECD">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pievienotās vērtības nodokļa (turpmāk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r w:rsidR="00761E59" w:rsidRPr="00291A30">
        <w:rPr>
          <w:rFonts w:cs="Arial"/>
          <w:i/>
          <w:szCs w:val="20"/>
        </w:rPr>
        <w:t>euro</w:t>
      </w:r>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lastRenderedPageBreak/>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BE48D7" w:rsidRDefault="00BE48D7" w:rsidP="00D86FF5">
      <w:pPr>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D86FF5">
        <w:rPr>
          <w:rFonts w:ascii="Arial" w:hAnsi="Arial" w:cs="Arial"/>
          <w:color w:val="000000" w:themeColor="text1"/>
          <w:sz w:val="20"/>
          <w:szCs w:val="20"/>
        </w:rPr>
        <w:t>63</w:t>
      </w:r>
    </w:p>
    <w:p w:rsidR="008F4915" w:rsidRPr="008F4915" w:rsidRDefault="008F4915" w:rsidP="008F4915">
      <w:pPr>
        <w:shd w:val="clear" w:color="auto" w:fill="FFFFFF"/>
        <w:jc w:val="right"/>
        <w:rPr>
          <w:rFonts w:ascii="Arial" w:hAnsi="Arial" w:cs="Arial"/>
          <w:sz w:val="20"/>
          <w:szCs w:val="20"/>
        </w:rPr>
      </w:pPr>
    </w:p>
    <w:p w:rsid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9C3EB0" w:rsidRPr="008F4915" w:rsidRDefault="009C3EB0" w:rsidP="008F4915">
      <w:pPr>
        <w:jc w:val="center"/>
        <w:rPr>
          <w:rFonts w:ascii="Arial" w:hAnsi="Arial" w:cs="Arial"/>
          <w:b/>
          <w:caps/>
          <w:color w:val="00000A"/>
          <w:sz w:val="20"/>
          <w:szCs w:val="20"/>
        </w:rPr>
      </w:pPr>
    </w:p>
    <w:p w:rsidR="00D86FF5" w:rsidRDefault="00D86FF5" w:rsidP="00FE1AE3">
      <w:pPr>
        <w:spacing w:after="120"/>
        <w:jc w:val="center"/>
        <w:rPr>
          <w:rFonts w:ascii="Arial" w:hAnsi="Arial" w:cs="Arial"/>
          <w:b/>
          <w:sz w:val="20"/>
          <w:szCs w:val="20"/>
        </w:rPr>
      </w:pPr>
      <w:r>
        <w:rPr>
          <w:rFonts w:ascii="Arial" w:hAnsi="Arial" w:cs="Arial"/>
          <w:b/>
          <w:sz w:val="20"/>
          <w:szCs w:val="20"/>
        </w:rPr>
        <w:t>iepirkumam “Kapličas jaunbūve Zaļenieku pagastā”</w:t>
      </w:r>
    </w:p>
    <w:p w:rsidR="00294E5B" w:rsidRPr="00294E5B" w:rsidRDefault="00D86FF5" w:rsidP="00FE1AE3">
      <w:pPr>
        <w:spacing w:after="120"/>
        <w:jc w:val="center"/>
        <w:rPr>
          <w:rFonts w:ascii="Arial" w:hAnsi="Arial" w:cs="Arial"/>
          <w:b/>
          <w:sz w:val="20"/>
          <w:szCs w:val="20"/>
        </w:rPr>
      </w:pPr>
      <w:r>
        <w:rPr>
          <w:rFonts w:ascii="Arial" w:hAnsi="Arial" w:cs="Arial"/>
          <w:b/>
          <w:sz w:val="20"/>
          <w:szCs w:val="20"/>
        </w:rPr>
        <w:t>ID. Nr. JNP 2017/63</w:t>
      </w:r>
    </w:p>
    <w:p w:rsidR="008F4915" w:rsidRPr="0054334C"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D86FF5" w:rsidP="00D86FF5">
      <w:pPr>
        <w:jc w:val="center"/>
        <w:rPr>
          <w:rFonts w:ascii="Arial" w:hAnsi="Arial" w:cs="Arial"/>
          <w:b/>
          <w:caps/>
          <w:sz w:val="20"/>
          <w:szCs w:val="20"/>
        </w:rPr>
      </w:pPr>
      <w:r>
        <w:rPr>
          <w:rFonts w:cs="Arial"/>
          <w:b/>
          <w:szCs w:val="20"/>
        </w:rPr>
        <w:t xml:space="preserve">Objektu </w:t>
      </w:r>
      <w:r w:rsidR="00394FDF" w:rsidRPr="00394FDF">
        <w:rPr>
          <w:b/>
        </w:rPr>
        <w:t>pārbūves/jaunbūves</w:t>
      </w:r>
      <w:r w:rsidR="00B74315" w:rsidRPr="00394FDF">
        <w:rPr>
          <w:rFonts w:cs="Arial"/>
          <w:b/>
          <w:szCs w:val="20"/>
        </w:rPr>
        <w:t xml:space="preserve"> </w:t>
      </w:r>
      <w:r w:rsidR="00A126B1" w:rsidRPr="00394FDF">
        <w:rPr>
          <w:rFonts w:cs="Arial"/>
          <w:b/>
          <w:szCs w:val="20"/>
        </w:rPr>
        <w:t>darbu saraksts</w:t>
      </w:r>
    </w:p>
    <w:p w:rsidR="008F4915" w:rsidRPr="008F4915" w:rsidRDefault="008F4915" w:rsidP="00865023">
      <w:pPr>
        <w:pStyle w:val="Index1"/>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847"/>
        <w:gridCol w:w="1446"/>
        <w:gridCol w:w="2104"/>
        <w:gridCol w:w="2232"/>
      </w:tblGrid>
      <w:tr w:rsidR="008F4915" w:rsidRPr="008F4915" w:rsidTr="00D86FF5">
        <w:trPr>
          <w:cantSplit/>
          <w:trHeight w:hRule="exact" w:val="193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59"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4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0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4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D054B6">
        <w:trPr>
          <w:cantSplit/>
          <w:trHeight w:hRule="exact" w:val="311"/>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59" w:type="dxa"/>
            <w:vAlign w:val="center"/>
          </w:tcPr>
          <w:p w:rsidR="008F4915" w:rsidRPr="008F4915" w:rsidRDefault="008F4915" w:rsidP="008F4915">
            <w:pPr>
              <w:pStyle w:val="BodyText"/>
              <w:jc w:val="center"/>
              <w:rPr>
                <w:rFonts w:ascii="Arial" w:hAnsi="Arial" w:cs="Arial"/>
                <w:sz w:val="20"/>
                <w:szCs w:val="20"/>
              </w:rPr>
            </w:pPr>
          </w:p>
        </w:tc>
        <w:tc>
          <w:tcPr>
            <w:tcW w:w="1449" w:type="dxa"/>
            <w:vAlign w:val="center"/>
          </w:tcPr>
          <w:p w:rsidR="008F4915" w:rsidRPr="008F4915" w:rsidRDefault="008F4915" w:rsidP="008F4915">
            <w:pPr>
              <w:pStyle w:val="BodyText"/>
              <w:jc w:val="center"/>
              <w:rPr>
                <w:rFonts w:ascii="Arial" w:hAnsi="Arial" w:cs="Arial"/>
                <w:sz w:val="20"/>
                <w:szCs w:val="20"/>
              </w:rPr>
            </w:pPr>
          </w:p>
        </w:tc>
        <w:tc>
          <w:tcPr>
            <w:tcW w:w="2108" w:type="dxa"/>
            <w:vAlign w:val="center"/>
          </w:tcPr>
          <w:p w:rsidR="008F4915" w:rsidRPr="008F4915" w:rsidRDefault="008F4915" w:rsidP="008F4915">
            <w:pPr>
              <w:pStyle w:val="BodyText"/>
              <w:jc w:val="center"/>
              <w:rPr>
                <w:rFonts w:ascii="Arial" w:hAnsi="Arial" w:cs="Arial"/>
                <w:sz w:val="20"/>
                <w:szCs w:val="20"/>
                <w:highlight w:val="lightGray"/>
              </w:rPr>
            </w:pPr>
          </w:p>
        </w:tc>
        <w:tc>
          <w:tcPr>
            <w:tcW w:w="224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D054B6">
        <w:trPr>
          <w:cantSplit/>
          <w:trHeight w:hRule="exact" w:val="311"/>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59" w:type="dxa"/>
            <w:vAlign w:val="center"/>
          </w:tcPr>
          <w:p w:rsidR="008F4915" w:rsidRPr="008F4915" w:rsidRDefault="008F4915" w:rsidP="008F4915">
            <w:pPr>
              <w:pStyle w:val="BodyText"/>
              <w:jc w:val="center"/>
              <w:rPr>
                <w:rFonts w:ascii="Arial" w:hAnsi="Arial" w:cs="Arial"/>
                <w:sz w:val="20"/>
                <w:szCs w:val="20"/>
                <w:highlight w:val="lightGray"/>
              </w:rPr>
            </w:pPr>
          </w:p>
        </w:tc>
        <w:tc>
          <w:tcPr>
            <w:tcW w:w="1449" w:type="dxa"/>
            <w:vAlign w:val="center"/>
          </w:tcPr>
          <w:p w:rsidR="008F4915" w:rsidRPr="008F4915" w:rsidRDefault="008F4915" w:rsidP="008F4915">
            <w:pPr>
              <w:pStyle w:val="BodyText"/>
              <w:jc w:val="center"/>
              <w:rPr>
                <w:rFonts w:ascii="Arial" w:hAnsi="Arial" w:cs="Arial"/>
                <w:sz w:val="20"/>
                <w:szCs w:val="20"/>
                <w:highlight w:val="lightGray"/>
              </w:rPr>
            </w:pPr>
          </w:p>
        </w:tc>
        <w:tc>
          <w:tcPr>
            <w:tcW w:w="2108" w:type="dxa"/>
            <w:vAlign w:val="center"/>
          </w:tcPr>
          <w:p w:rsidR="008F4915" w:rsidRPr="008F4915" w:rsidRDefault="008F4915" w:rsidP="008F4915">
            <w:pPr>
              <w:pStyle w:val="BodyText"/>
              <w:jc w:val="center"/>
              <w:rPr>
                <w:rFonts w:ascii="Arial" w:hAnsi="Arial" w:cs="Arial"/>
                <w:sz w:val="20"/>
                <w:szCs w:val="20"/>
                <w:highlight w:val="lightGray"/>
              </w:rPr>
            </w:pPr>
          </w:p>
        </w:tc>
        <w:tc>
          <w:tcPr>
            <w:tcW w:w="224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D86FF5">
        <w:rPr>
          <w:rFonts w:ascii="Arial" w:hAnsi="Arial" w:cs="Arial"/>
          <w:bCs/>
          <w:color w:val="000000" w:themeColor="text1"/>
          <w:sz w:val="20"/>
          <w:szCs w:val="20"/>
        </w:rPr>
        <w:t xml:space="preserve"> 2017/63</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D86FF5" w:rsidRDefault="00D86FF5" w:rsidP="00D86FF5">
      <w:pPr>
        <w:spacing w:after="120"/>
        <w:jc w:val="center"/>
        <w:rPr>
          <w:rFonts w:ascii="Arial" w:hAnsi="Arial" w:cs="Arial"/>
          <w:b/>
          <w:sz w:val="20"/>
          <w:szCs w:val="20"/>
        </w:rPr>
      </w:pPr>
      <w:r>
        <w:rPr>
          <w:rFonts w:ascii="Arial" w:hAnsi="Arial" w:cs="Arial"/>
          <w:b/>
          <w:sz w:val="20"/>
          <w:szCs w:val="20"/>
        </w:rPr>
        <w:t>iepirkumam “Kapličas jaunbūve Zaļenieku pagastā”</w:t>
      </w:r>
    </w:p>
    <w:p w:rsidR="00D86FF5" w:rsidRPr="00294E5B" w:rsidRDefault="00D86FF5" w:rsidP="00D86FF5">
      <w:pPr>
        <w:spacing w:after="120"/>
        <w:jc w:val="center"/>
        <w:rPr>
          <w:rFonts w:ascii="Arial" w:hAnsi="Arial" w:cs="Arial"/>
          <w:b/>
          <w:sz w:val="20"/>
          <w:szCs w:val="20"/>
        </w:rPr>
      </w:pPr>
      <w:r>
        <w:rPr>
          <w:rFonts w:ascii="Arial" w:hAnsi="Arial" w:cs="Arial"/>
          <w:b/>
          <w:sz w:val="20"/>
          <w:szCs w:val="20"/>
        </w:rPr>
        <w:t>ID. Nr. JNP 2017/63</w:t>
      </w:r>
    </w:p>
    <w:p w:rsidR="001118A9" w:rsidRPr="001118A9" w:rsidRDefault="001118A9" w:rsidP="004F1E84">
      <w:pPr>
        <w:spacing w:after="120"/>
        <w:jc w:val="center"/>
        <w:rPr>
          <w:rFonts w:ascii="Arial" w:hAnsi="Arial" w:cs="Arial"/>
          <w:b/>
          <w:sz w:val="20"/>
          <w:szCs w:val="20"/>
        </w:rPr>
      </w:pPr>
    </w:p>
    <w:tbl>
      <w:tblPr>
        <w:tblStyle w:val="TableGrid"/>
        <w:tblW w:w="9155" w:type="dxa"/>
        <w:tblLook w:val="04A0" w:firstRow="1" w:lastRow="0" w:firstColumn="1" w:lastColumn="0" w:noHBand="0" w:noVBand="1"/>
      </w:tblPr>
      <w:tblGrid>
        <w:gridCol w:w="484"/>
        <w:gridCol w:w="2406"/>
        <w:gridCol w:w="2854"/>
        <w:gridCol w:w="1693"/>
        <w:gridCol w:w="1718"/>
      </w:tblGrid>
      <w:tr w:rsidR="00EA6EDB" w:rsidRPr="00EA6EDB" w:rsidTr="00CF2BD7">
        <w:trPr>
          <w:trHeight w:val="596"/>
        </w:trPr>
        <w:tc>
          <w:tcPr>
            <w:tcW w:w="48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85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69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1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60"/>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r w:rsidR="00EA6EDB" w:rsidRPr="00EA6EDB" w:rsidTr="00CF2BD7">
        <w:trPr>
          <w:trHeight w:val="373"/>
        </w:trPr>
        <w:tc>
          <w:tcPr>
            <w:tcW w:w="484" w:type="dxa"/>
          </w:tcPr>
          <w:p w:rsidR="00EA6EDB" w:rsidRPr="00EA6EDB" w:rsidRDefault="00EA6EDB" w:rsidP="007901B5">
            <w:pPr>
              <w:pStyle w:val="BodyText"/>
              <w:jc w:val="both"/>
              <w:rPr>
                <w:rFonts w:ascii="Arial" w:hAnsi="Arial" w:cs="Arial"/>
                <w:b/>
                <w:szCs w:val="20"/>
              </w:rPr>
            </w:pPr>
          </w:p>
        </w:tc>
        <w:tc>
          <w:tcPr>
            <w:tcW w:w="2406" w:type="dxa"/>
          </w:tcPr>
          <w:p w:rsidR="00EA6EDB" w:rsidRPr="00EA6EDB" w:rsidRDefault="00EA6EDB" w:rsidP="007901B5">
            <w:pPr>
              <w:pStyle w:val="BodyText"/>
              <w:jc w:val="both"/>
              <w:rPr>
                <w:rFonts w:ascii="Arial" w:hAnsi="Arial" w:cs="Arial"/>
                <w:b/>
                <w:szCs w:val="20"/>
              </w:rPr>
            </w:pPr>
          </w:p>
        </w:tc>
        <w:tc>
          <w:tcPr>
            <w:tcW w:w="2854" w:type="dxa"/>
          </w:tcPr>
          <w:p w:rsidR="00EA6EDB" w:rsidRPr="00EA6EDB" w:rsidRDefault="00EA6EDB" w:rsidP="007901B5">
            <w:pPr>
              <w:pStyle w:val="BodyText"/>
              <w:jc w:val="both"/>
              <w:rPr>
                <w:rFonts w:ascii="Arial" w:hAnsi="Arial" w:cs="Arial"/>
                <w:b/>
                <w:szCs w:val="20"/>
              </w:rPr>
            </w:pPr>
          </w:p>
        </w:tc>
        <w:tc>
          <w:tcPr>
            <w:tcW w:w="1693" w:type="dxa"/>
          </w:tcPr>
          <w:p w:rsidR="00EA6EDB" w:rsidRPr="00EA6EDB" w:rsidRDefault="00EA6EDB" w:rsidP="007901B5">
            <w:pPr>
              <w:pStyle w:val="BodyText"/>
              <w:jc w:val="both"/>
              <w:rPr>
                <w:rFonts w:ascii="Arial" w:hAnsi="Arial" w:cs="Arial"/>
                <w:b/>
                <w:szCs w:val="20"/>
              </w:rPr>
            </w:pPr>
          </w:p>
        </w:tc>
        <w:tc>
          <w:tcPr>
            <w:tcW w:w="1718"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1118A9" w:rsidRDefault="00EA6EDB" w:rsidP="001118A9">
      <w:pPr>
        <w:spacing w:after="120"/>
        <w:jc w:val="both"/>
        <w:rPr>
          <w:rFonts w:ascii="Arial" w:hAnsi="Arial" w:cs="Arial"/>
          <w:b/>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D86FF5">
        <w:rPr>
          <w:rFonts w:ascii="Arial" w:hAnsi="Arial" w:cs="Arial"/>
          <w:sz w:val="20"/>
          <w:szCs w:val="20"/>
        </w:rPr>
        <w:t>gava, rīkotajā iepirkumā</w:t>
      </w:r>
      <w:r w:rsidR="00E3264E" w:rsidRPr="001124FA">
        <w:rPr>
          <w:rFonts w:cs="Arial"/>
          <w:b/>
          <w:bCs/>
          <w:iCs/>
          <w:szCs w:val="20"/>
        </w:rPr>
        <w:t xml:space="preserve"> </w:t>
      </w:r>
      <w:r w:rsidR="00E3264E" w:rsidRPr="001124FA">
        <w:rPr>
          <w:rFonts w:cs="Arial"/>
          <w:bCs/>
          <w:iCs/>
          <w:szCs w:val="20"/>
        </w:rPr>
        <w:t>“</w:t>
      </w:r>
      <w:r w:rsidR="00D86FF5" w:rsidRPr="00D86FF5">
        <w:rPr>
          <w:rFonts w:ascii="Arial" w:hAnsi="Arial" w:cs="Arial"/>
          <w:bCs/>
          <w:iCs/>
          <w:sz w:val="20"/>
          <w:szCs w:val="20"/>
        </w:rPr>
        <w:t>Kapličas jaunbūve Zaļenieku pagastā</w:t>
      </w:r>
      <w:r w:rsidR="00D86FF5">
        <w:rPr>
          <w:rFonts w:cs="Arial"/>
          <w:bCs/>
          <w:iCs/>
          <w:szCs w:val="20"/>
        </w:rPr>
        <w:t>”</w:t>
      </w:r>
      <w:r w:rsidR="00E3264E" w:rsidRPr="00E3264E">
        <w:rPr>
          <w:rFonts w:ascii="Arial" w:hAnsi="Arial" w:cs="Arial"/>
          <w:bCs/>
          <w:sz w:val="20"/>
          <w:szCs w:val="20"/>
        </w:rPr>
        <w:t xml:space="preserve">, </w:t>
      </w:r>
      <w:r w:rsidR="00D86FF5">
        <w:rPr>
          <w:rFonts w:ascii="Arial" w:hAnsi="Arial" w:cs="Arial"/>
          <w:sz w:val="20"/>
          <w:szCs w:val="20"/>
        </w:rPr>
        <w:t>ID. Nr. JNP 2017/63</w:t>
      </w:r>
      <w:r w:rsidR="00E3264E">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D86FF5">
        <w:rPr>
          <w:rFonts w:ascii="Arial" w:hAnsi="Arial" w:cs="Arial"/>
          <w:bCs/>
          <w:color w:val="000000" w:themeColor="text1"/>
          <w:sz w:val="20"/>
          <w:szCs w:val="20"/>
        </w:rPr>
        <w:t>. JNP 2017/63</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D34294">
        <w:rPr>
          <w:rFonts w:ascii="Arial" w:hAnsi="Arial" w:cs="Arial"/>
          <w:color w:val="000000"/>
          <w:sz w:val="20"/>
          <w:szCs w:val="20"/>
          <w:lang w:eastAsia="ar-SA"/>
        </w:rPr>
        <w:t>JNP 2017</w:t>
      </w:r>
      <w:r w:rsidR="00D86FF5">
        <w:rPr>
          <w:rFonts w:ascii="Arial" w:hAnsi="Arial" w:cs="Arial"/>
          <w:color w:val="000000"/>
          <w:sz w:val="20"/>
          <w:szCs w:val="20"/>
          <w:lang w:eastAsia="ar-SA"/>
        </w:rPr>
        <w:t>/63</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D86FF5">
        <w:rPr>
          <w:rFonts w:ascii="Arial" w:hAnsi="Arial" w:cs="Arial"/>
          <w:bCs/>
          <w:color w:val="000000" w:themeColor="text1"/>
          <w:sz w:val="20"/>
          <w:szCs w:val="20"/>
        </w:rPr>
        <w:t xml:space="preserve"> JNP 2017/63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4D4CA2" w:rsidRDefault="004D4CA2" w:rsidP="004D4CA2">
      <w:pPr>
        <w:spacing w:after="120"/>
        <w:jc w:val="center"/>
        <w:rPr>
          <w:rFonts w:ascii="Arial" w:hAnsi="Arial" w:cs="Arial"/>
          <w:b/>
          <w:sz w:val="20"/>
          <w:szCs w:val="20"/>
        </w:rPr>
      </w:pPr>
      <w:r>
        <w:rPr>
          <w:rFonts w:ascii="Arial" w:hAnsi="Arial" w:cs="Arial"/>
          <w:b/>
          <w:sz w:val="20"/>
          <w:szCs w:val="20"/>
        </w:rPr>
        <w:t>iepirkumam “Kapličas jaunbūve Zaļenieku pagastā”</w:t>
      </w:r>
    </w:p>
    <w:p w:rsidR="004D4CA2" w:rsidRPr="00294E5B" w:rsidRDefault="004D4CA2" w:rsidP="004D4CA2">
      <w:pPr>
        <w:spacing w:after="120"/>
        <w:jc w:val="center"/>
        <w:rPr>
          <w:rFonts w:ascii="Arial" w:hAnsi="Arial" w:cs="Arial"/>
          <w:b/>
          <w:sz w:val="20"/>
          <w:szCs w:val="20"/>
        </w:rPr>
      </w:pPr>
      <w:r>
        <w:rPr>
          <w:rFonts w:ascii="Arial" w:hAnsi="Arial" w:cs="Arial"/>
          <w:b/>
          <w:sz w:val="20"/>
          <w:szCs w:val="20"/>
        </w:rPr>
        <w:t>ID. Nr. JNP 2017/63</w:t>
      </w:r>
    </w:p>
    <w:p w:rsidR="00B24CD3" w:rsidRDefault="00B24CD3" w:rsidP="00B24CD3">
      <w:pPr>
        <w:jc w:val="right"/>
        <w:rPr>
          <w:rFonts w:ascii="Arial" w:hAnsi="Arial" w:cs="Arial"/>
          <w:color w:val="000000" w:themeColor="text1"/>
          <w:sz w:val="20"/>
          <w:szCs w:val="20"/>
        </w:rPr>
      </w:pP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4D4CA2">
        <w:rPr>
          <w:rFonts w:ascii="Arial" w:hAnsi="Arial" w:cs="Arial"/>
          <w:bCs/>
          <w:color w:val="000000" w:themeColor="text1"/>
          <w:sz w:val="20"/>
          <w:szCs w:val="20"/>
        </w:rPr>
        <w:t>/63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4D4CA2" w:rsidRDefault="004D4CA2" w:rsidP="004D4CA2">
      <w:pPr>
        <w:spacing w:after="120"/>
        <w:jc w:val="center"/>
        <w:rPr>
          <w:rFonts w:ascii="Arial" w:hAnsi="Arial" w:cs="Arial"/>
          <w:b/>
          <w:sz w:val="20"/>
          <w:szCs w:val="20"/>
        </w:rPr>
      </w:pPr>
      <w:r>
        <w:rPr>
          <w:rFonts w:ascii="Arial" w:hAnsi="Arial" w:cs="Arial"/>
          <w:b/>
          <w:sz w:val="20"/>
          <w:szCs w:val="20"/>
        </w:rPr>
        <w:t>iepirkumam “Kapličas jaunbūve Zaļenieku pagastā”</w:t>
      </w:r>
    </w:p>
    <w:p w:rsidR="004D4CA2" w:rsidRPr="00294E5B" w:rsidRDefault="004D4CA2" w:rsidP="004D4CA2">
      <w:pPr>
        <w:spacing w:after="120"/>
        <w:jc w:val="center"/>
        <w:rPr>
          <w:rFonts w:ascii="Arial" w:hAnsi="Arial" w:cs="Arial"/>
          <w:b/>
          <w:sz w:val="20"/>
          <w:szCs w:val="20"/>
        </w:rPr>
      </w:pPr>
      <w:r>
        <w:rPr>
          <w:rFonts w:ascii="Arial" w:hAnsi="Arial" w:cs="Arial"/>
          <w:b/>
          <w:sz w:val="20"/>
          <w:szCs w:val="20"/>
        </w:rPr>
        <w:t>ID. Nr. JNP 2017/63</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2765F5" w:rsidRDefault="00BC4166" w:rsidP="002765F5">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 xml:space="preserve">organizētajā </w:t>
      </w:r>
      <w:r w:rsidR="004D4CA2">
        <w:rPr>
          <w:rFonts w:ascii="Arial" w:hAnsi="Arial" w:cs="Arial"/>
          <w:sz w:val="20"/>
          <w:szCs w:val="20"/>
        </w:rPr>
        <w:t>iepirkumā “Kapličas jaunbūve Zaļenieku pagastā”</w:t>
      </w:r>
      <w:r w:rsidR="002765F5">
        <w:rPr>
          <w:rFonts w:ascii="Arial" w:hAnsi="Arial" w:cs="Arial"/>
          <w:bCs/>
          <w:sz w:val="20"/>
          <w:szCs w:val="20"/>
        </w:rPr>
        <w:t>,</w:t>
      </w:r>
      <w:r w:rsidR="002765F5" w:rsidRPr="002765F5">
        <w:rPr>
          <w:rFonts w:ascii="Arial" w:hAnsi="Arial" w:cs="Arial"/>
          <w:bCs/>
          <w:sz w:val="20"/>
          <w:szCs w:val="20"/>
        </w:rPr>
        <w:t xml:space="preserve"> </w:t>
      </w:r>
      <w:r w:rsidR="004D4CA2">
        <w:rPr>
          <w:rFonts w:ascii="Arial" w:hAnsi="Arial" w:cs="Arial"/>
          <w:sz w:val="20"/>
          <w:szCs w:val="20"/>
        </w:rPr>
        <w:t>ID. Nr. JNP 2017/63</w:t>
      </w:r>
      <w:r w:rsidR="002765F5">
        <w:rPr>
          <w:rFonts w:ascii="Arial" w:hAnsi="Arial" w:cs="Arial"/>
          <w:sz w:val="20"/>
          <w:szCs w:val="20"/>
        </w:rPr>
        <w:t>,</w:t>
      </w:r>
      <w:r w:rsidR="002765F5">
        <w:rPr>
          <w:rFonts w:ascii="Arial" w:hAnsi="Arial" w:cs="Arial"/>
          <w:bCs/>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46119F">
        <w:rPr>
          <w:rFonts w:ascii="Arial" w:hAnsi="Arial" w:cs="Arial"/>
          <w:b/>
          <w:bCs/>
          <w:color w:val="000000" w:themeColor="text1"/>
          <w:sz w:val="20"/>
          <w:szCs w:val="20"/>
        </w:rPr>
        <w:t>JNP 2017/63</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46119F" w:rsidRDefault="0046119F" w:rsidP="0046119F">
      <w:pPr>
        <w:spacing w:after="120"/>
        <w:jc w:val="center"/>
        <w:rPr>
          <w:rFonts w:ascii="Arial" w:hAnsi="Arial" w:cs="Arial"/>
          <w:b/>
          <w:sz w:val="20"/>
          <w:szCs w:val="20"/>
        </w:rPr>
      </w:pPr>
      <w:r>
        <w:rPr>
          <w:rFonts w:ascii="Arial" w:hAnsi="Arial" w:cs="Arial"/>
          <w:b/>
          <w:sz w:val="20"/>
          <w:szCs w:val="20"/>
        </w:rPr>
        <w:t>iepirkumam “Kapličas jaunbūve Zaļenieku pagastā”</w:t>
      </w: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46119F" w:rsidP="00A90DDA">
            <w:pPr>
              <w:jc w:val="center"/>
              <w:rPr>
                <w:rFonts w:ascii="Arial" w:hAnsi="Arial" w:cs="Arial"/>
                <w:b/>
                <w:sz w:val="20"/>
                <w:szCs w:val="20"/>
                <w:lang w:eastAsia="en-US"/>
              </w:rPr>
            </w:pPr>
            <w:r>
              <w:rPr>
                <w:rFonts w:ascii="Arial" w:hAnsi="Arial" w:cs="Arial"/>
                <w:b/>
                <w:sz w:val="20"/>
                <w:szCs w:val="20"/>
              </w:rPr>
              <w:t>Objekta</w:t>
            </w:r>
            <w:r w:rsidR="00540A83">
              <w:rPr>
                <w:rFonts w:ascii="Arial" w:hAnsi="Arial" w:cs="Arial"/>
                <w:b/>
                <w:sz w:val="20"/>
                <w:szCs w:val="20"/>
              </w:rPr>
              <w:t xml:space="preserve"> </w:t>
            </w:r>
            <w:r w:rsidR="00540A83"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5F19A3" w:rsidRDefault="005F19A3" w:rsidP="005F19A3">
            <w:pPr>
              <w:spacing w:after="120"/>
              <w:jc w:val="center"/>
              <w:rPr>
                <w:rFonts w:ascii="Arial" w:hAnsi="Arial" w:cs="Arial"/>
                <w:b/>
                <w:bCs/>
                <w:sz w:val="20"/>
                <w:szCs w:val="20"/>
              </w:rPr>
            </w:pPr>
          </w:p>
          <w:p w:rsidR="00D94434" w:rsidRDefault="0046119F" w:rsidP="00D94434">
            <w:pPr>
              <w:spacing w:after="120"/>
              <w:jc w:val="center"/>
              <w:rPr>
                <w:rFonts w:ascii="Arial" w:hAnsi="Arial" w:cs="Arial"/>
                <w:b/>
                <w:sz w:val="20"/>
                <w:szCs w:val="20"/>
              </w:rPr>
            </w:pPr>
            <w:r>
              <w:rPr>
                <w:rFonts w:ascii="Arial" w:hAnsi="Arial" w:cs="Arial"/>
                <w:b/>
                <w:sz w:val="20"/>
                <w:szCs w:val="20"/>
              </w:rPr>
              <w:t>Kapličas jaunbūve Zaļenieku pagastā</w:t>
            </w: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D64268" w:rsidRDefault="00D64268" w:rsidP="002A1D2E">
      <w:pPr>
        <w:spacing w:line="100" w:lineRule="atLeast"/>
        <w:jc w:val="both"/>
        <w:rPr>
          <w:rFonts w:ascii="Arial" w:hAnsi="Arial" w:cs="Arial"/>
          <w:sz w:val="20"/>
          <w:szCs w:val="20"/>
        </w:rPr>
      </w:pPr>
    </w:p>
    <w:p w:rsidR="00D64268" w:rsidRDefault="00D64268" w:rsidP="002A1D2E">
      <w:pPr>
        <w:spacing w:line="100" w:lineRule="atLeast"/>
        <w:jc w:val="both"/>
        <w:rPr>
          <w:rFonts w:ascii="Arial" w:hAnsi="Arial" w:cs="Arial"/>
          <w:sz w:val="20"/>
          <w:szCs w:val="20"/>
        </w:rPr>
      </w:pPr>
    </w:p>
    <w:p w:rsidR="00D64268" w:rsidRDefault="00D64268" w:rsidP="002A1D2E">
      <w:pPr>
        <w:spacing w:line="100" w:lineRule="atLeast"/>
        <w:jc w:val="both"/>
        <w:rPr>
          <w:rFonts w:ascii="Arial" w:hAnsi="Arial" w:cs="Arial"/>
          <w:sz w:val="20"/>
          <w:szCs w:val="20"/>
        </w:rPr>
      </w:pPr>
    </w:p>
    <w:p w:rsidR="00D64268" w:rsidRDefault="00D64268"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D64268">
        <w:rPr>
          <w:rFonts w:ascii="Arial" w:hAnsi="Arial" w:cs="Arial"/>
          <w:bCs/>
          <w:color w:val="000000" w:themeColor="text1"/>
          <w:sz w:val="20"/>
          <w:szCs w:val="20"/>
        </w:rPr>
        <w:t>63</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64229B" w:rsidRDefault="00663E51" w:rsidP="0064229B">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64229B" w:rsidRDefault="0064229B" w:rsidP="0064229B">
      <w:pPr>
        <w:pStyle w:val="BodyText"/>
        <w:spacing w:after="0"/>
        <w:rPr>
          <w:rFonts w:ascii="Arial" w:eastAsia="Arial Unicode MS" w:hAnsi="Arial" w:cs="Arial"/>
          <w:kern w:val="1"/>
          <w:sz w:val="20"/>
          <w:szCs w:val="20"/>
        </w:rPr>
      </w:pPr>
    </w:p>
    <w:p w:rsidR="0064229B" w:rsidRDefault="000D0948" w:rsidP="0064229B">
      <w:pPr>
        <w:pStyle w:val="BodyText"/>
        <w:spacing w:after="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Default="000D0948" w:rsidP="0064229B">
      <w:pPr>
        <w:pStyle w:val="BodyText"/>
        <w:spacing w:after="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sabiedrība ar ierobežotu atbildību „””</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Pr="000D0948">
        <w:rPr>
          <w:rFonts w:ascii="Arial" w:eastAsia="Arial Unicode MS" w:hAnsi="Arial" w:cs="Arial"/>
          <w:b/>
          <w:kern w:val="1"/>
          <w:sz w:val="20"/>
          <w:szCs w:val="20"/>
        </w:rPr>
        <w:t>valdes loceklis</w:t>
      </w:r>
      <w:r w:rsidRPr="000D0948">
        <w:rPr>
          <w:rFonts w:ascii="Arial" w:eastAsia="Arial Unicode MS" w:hAnsi="Arial" w:cs="Arial"/>
          <w:kern w:val="1"/>
          <w:sz w:val="20"/>
          <w:szCs w:val="20"/>
        </w:rPr>
        <w:t>, kurš rīkojas pamatojoties uz statūtu pamata, no otras puses, abi kopā turpmāk Puses, noslēdz šādu līgumu:</w:t>
      </w:r>
    </w:p>
    <w:p w:rsidR="0064229B" w:rsidRPr="000D0948" w:rsidRDefault="0064229B" w:rsidP="0064229B">
      <w:pPr>
        <w:pStyle w:val="BodyText"/>
        <w:spacing w:after="0"/>
        <w:jc w:val="both"/>
        <w:rPr>
          <w:rFonts w:ascii="Arial" w:eastAsia="Arial Unicode MS" w:hAnsi="Arial" w:cs="Arial"/>
          <w:kern w:val="1"/>
          <w:sz w:val="20"/>
          <w:szCs w:val="20"/>
        </w:rPr>
      </w:pP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D64268">
        <w:rPr>
          <w:rFonts w:ascii="Arial" w:eastAsia="Arial Unicode MS" w:hAnsi="Arial" w:cs="Arial"/>
          <w:kern w:val="1"/>
          <w:sz w:val="20"/>
          <w:szCs w:val="20"/>
        </w:rPr>
        <w:t>...” (Id Nr.JNP 2017/63</w:t>
      </w:r>
      <w:r w:rsidRPr="000D0948">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D6426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D64268">
        <w:rPr>
          <w:rFonts w:ascii="Arial" w:eastAsia="Arial Unicode MS" w:hAnsi="Arial" w:cs="Arial"/>
          <w:kern w:val="1"/>
          <w:sz w:val="20"/>
          <w:szCs w:val="20"/>
        </w:rPr>
        <w:t>Būvdarbu „” pasūtītāja kontaktpersona u</w:t>
      </w:r>
      <w:r w:rsidR="00D64268" w:rsidRPr="00D64268">
        <w:rPr>
          <w:rFonts w:ascii="Arial" w:eastAsia="Arial Unicode MS" w:hAnsi="Arial" w:cs="Arial"/>
          <w:kern w:val="1"/>
          <w:sz w:val="20"/>
          <w:szCs w:val="20"/>
        </w:rPr>
        <w:t>n atbildīgā persona par būvdarbu</w:t>
      </w:r>
      <w:r w:rsidRPr="00D64268">
        <w:rPr>
          <w:rFonts w:ascii="Arial" w:eastAsia="Arial Unicode MS" w:hAnsi="Arial" w:cs="Arial"/>
          <w:kern w:val="1"/>
          <w:sz w:val="20"/>
          <w:szCs w:val="20"/>
        </w:rPr>
        <w:t xml:space="preserve"> realizāciju-, tel.Nr. </w:t>
      </w:r>
    </w:p>
    <w:p w:rsidR="000D0948" w:rsidRPr="00D6426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D6426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kontaktpersona-, tel.Nr.</w:t>
      </w:r>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apņemas atturēties no jebkādas rīcības, kas varētu apgrūtināt Būvdarbu 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Būvuzņēmējs nodrošina nepieciešamo būvizstrādājumu pareizu un kvalitatīvu izmantošanu 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lastRenderedPageBreak/>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2C05E7" w:rsidRPr="000A3997" w:rsidRDefault="000A3997" w:rsidP="002C05E7">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15C59">
        <w:rPr>
          <w:rFonts w:ascii="Arial" w:hAnsi="Arial" w:cs="Arial"/>
          <w:sz w:val="20"/>
          <w:szCs w:val="20"/>
        </w:rPr>
        <w:t>Kopējā līguma summa par būvdarbu ________________________izpildi ir EU</w:t>
      </w:r>
      <w:r w:rsidR="00815C59" w:rsidRPr="00815C59">
        <w:rPr>
          <w:rFonts w:ascii="Arial" w:hAnsi="Arial" w:cs="Arial"/>
          <w:sz w:val="20"/>
          <w:szCs w:val="20"/>
        </w:rPr>
        <w:t>R________ (___________________)</w:t>
      </w:r>
      <w:r w:rsidRPr="00815C59">
        <w:rPr>
          <w:rFonts w:ascii="Arial" w:hAnsi="Arial" w:cs="Arial"/>
          <w:sz w:val="20"/>
          <w:szCs w:val="20"/>
        </w:rPr>
        <w:t>, tai skaitā līguma summa bez PVN (turpmāk-līguma cena) _______ EUR (_________________) apmērā un PVN ________ EUR (______________) apmērā.</w:t>
      </w:r>
      <w:r>
        <w:t xml:space="preserve"> </w:t>
      </w:r>
      <w:r w:rsidR="000D0948" w:rsidRPr="000D0948">
        <w:rPr>
          <w:rFonts w:ascii="Arial" w:eastAsia="Arial Unicode MS" w:hAnsi="Arial" w:cs="Arial"/>
          <w:kern w:val="1"/>
          <w:sz w:val="20"/>
          <w:szCs w:val="20"/>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w:t>
      </w:r>
      <w:r w:rsidR="00815C59">
        <w:rPr>
          <w:rFonts w:ascii="Arial" w:eastAsia="Arial Unicode MS" w:hAnsi="Arial" w:cs="Arial"/>
          <w:kern w:val="1"/>
          <w:sz w:val="20"/>
          <w:szCs w:val="20"/>
        </w:rPr>
        <w:t>ājuma saņemšanas no Būvuzņēmēja.</w:t>
      </w:r>
      <w:r w:rsidR="002C05E7">
        <w:tab/>
      </w:r>
      <w:r w:rsidR="002C05E7">
        <w:tab/>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sidRPr="000D0948">
        <w:rPr>
          <w:rFonts w:ascii="Arial" w:eastAsia="Arial Unicode MS" w:hAnsi="Arial" w:cs="Arial"/>
          <w:b/>
          <w:kern w:val="1"/>
          <w:sz w:val="20"/>
          <w:szCs w:val="20"/>
        </w:rPr>
        <w:t xml:space="preserve">EUR  </w:t>
      </w:r>
      <w:r w:rsidRPr="000D0948">
        <w:rPr>
          <w:rFonts w:ascii="Arial" w:eastAsia="Arial Unicode MS" w:hAnsi="Arial" w:cs="Arial"/>
          <w:kern w:val="1"/>
          <w:sz w:val="20"/>
          <w:szCs w:val="20"/>
        </w:rPr>
        <w:t>(</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(piem.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0D0948" w:rsidRDefault="000D0948" w:rsidP="000D0948">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ja pēc Pasūtītāja pieprasījuma tiek izdarītas izmaiņas Būvdarbu apjomā;</w:t>
      </w:r>
    </w:p>
    <w:p w:rsidR="000D0948" w:rsidRPr="000D0948" w:rsidRDefault="000D0948" w:rsidP="000D0948">
      <w:pPr>
        <w:widowControl w:val="0"/>
        <w:numPr>
          <w:ilvl w:val="2"/>
          <w:numId w:val="2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0D0948">
      <w:pPr>
        <w:widowControl w:val="0"/>
        <w:numPr>
          <w:ilvl w:val="2"/>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0D0948">
      <w:pPr>
        <w:widowControl w:val="0"/>
        <w:numPr>
          <w:ilvl w:val="0"/>
          <w:numId w:val="21"/>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0D0948" w:rsidRDefault="000D0948" w:rsidP="000D0948">
      <w:pPr>
        <w:widowControl w:val="0"/>
        <w:numPr>
          <w:ilvl w:val="0"/>
          <w:numId w:val="21"/>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  Būvdarbu nodošana- pieņemšana jāveic pēc Būvdarbu pabeigšanas, atbilstoši līguma 7.8. punktam.</w:t>
      </w:r>
    </w:p>
    <w:p w:rsidR="000D0948" w:rsidRPr="000D0948" w:rsidRDefault="000D0948" w:rsidP="000D0948">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0D0948" w:rsidRDefault="000D0948" w:rsidP="000D0948">
      <w:pPr>
        <w:pStyle w:val="ListParagraph"/>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izpilddokumentāciju u.c.). Minētās dokumentācijas nodošana Pasūtītājam ir priekšnoteikums galīgā pieņemšanas-</w:t>
      </w:r>
      <w:r w:rsidRPr="000D0948">
        <w:rPr>
          <w:rFonts w:ascii="Arial" w:eastAsia="Arial Unicode MS" w:hAnsi="Arial" w:cs="Arial"/>
          <w:kern w:val="1"/>
          <w:sz w:val="20"/>
          <w:szCs w:val="20"/>
        </w:rPr>
        <w:lastRenderedPageBreak/>
        <w:t>nodošanas akta, kas apliecina objekta gatavību pieņemšanai ekspluatācijā, parakstīšanai.</w:t>
      </w:r>
    </w:p>
    <w:p w:rsidR="000D0948" w:rsidRPr="000D0948" w:rsidRDefault="000D0948" w:rsidP="000D0948">
      <w:pPr>
        <w:pStyle w:val="ListParagraph"/>
        <w:widowControl w:val="0"/>
        <w:numPr>
          <w:ilvl w:val="1"/>
          <w:numId w:val="21"/>
        </w:numPr>
        <w:tabs>
          <w:tab w:val="left" w:pos="567"/>
          <w:tab w:val="left" w:pos="90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0D0948" w:rsidRPr="000D0948" w:rsidRDefault="000D0948" w:rsidP="000D0948">
      <w:pPr>
        <w:widowControl w:val="0"/>
        <w:numPr>
          <w:ilvl w:val="0"/>
          <w:numId w:val="21"/>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Puses ir atbildīgas par Līgumā noteikto saistību pilnīgu izpildi, atbilstoši Līguma 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2C05E7" w:rsidRPr="000D0948" w:rsidRDefault="000D0948" w:rsidP="00815C59">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815C59"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 xml:space="preserve">Ja Pasūtītājs neveic savlaicīgi līguma 4. punktā noteiktos maksājumus, tad viņš maksā Būvuzņēmējam līgumsodu 0,1 % apmērā no nokavētā maksājuma summas par katru maksājuma kavējuma dienu, bet ne vairāk kā 10 (desmit) % no kopējās Līguma </w:t>
      </w:r>
      <w:r w:rsidRPr="00815C59">
        <w:rPr>
          <w:rFonts w:ascii="Arial" w:eastAsia="Arial Unicode MS" w:hAnsi="Arial" w:cs="Arial"/>
          <w:color w:val="000000" w:themeColor="text1"/>
          <w:kern w:val="1"/>
          <w:sz w:val="20"/>
          <w:szCs w:val="20"/>
        </w:rPr>
        <w:t>summas.</w:t>
      </w:r>
    </w:p>
    <w:p w:rsidR="000D0948" w:rsidRPr="00815C59"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815C59">
        <w:rPr>
          <w:rFonts w:ascii="Arial" w:hAnsi="Arial" w:cs="Arial"/>
          <w:color w:val="000000" w:themeColor="text1"/>
          <w:sz w:val="20"/>
          <w:szCs w:val="20"/>
        </w:rPr>
        <w:t>8.6.</w:t>
      </w:r>
      <w:r w:rsidRPr="00815C59">
        <w:rPr>
          <w:rFonts w:ascii="Arial" w:hAnsi="Arial" w:cs="Arial"/>
          <w:color w:val="000000" w:themeColor="text1"/>
          <w:sz w:val="20"/>
          <w:szCs w:val="20"/>
        </w:rPr>
        <w:tab/>
      </w:r>
      <w:r w:rsidRPr="00815C59">
        <w:rPr>
          <w:rFonts w:ascii="Arial" w:hAnsi="Arial" w:cs="Arial"/>
          <w:sz w:val="20"/>
          <w:szCs w:val="20"/>
        </w:rPr>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815C59">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815C59">
          <w:rPr>
            <w:rFonts w:ascii="Arial" w:hAnsi="Arial" w:cs="Arial"/>
            <w:sz w:val="20"/>
            <w:szCs w:val="20"/>
          </w:rPr>
          <w:t>, EUR</w:t>
        </w:r>
      </w:smartTag>
      <w:r w:rsidR="00EF5985" w:rsidRPr="00815C59">
        <w:rPr>
          <w:rFonts w:ascii="Arial" w:hAnsi="Arial" w:cs="Arial"/>
          <w:sz w:val="20"/>
          <w:szCs w:val="20"/>
        </w:rPr>
        <w:t xml:space="preserve"> 200 (divi simti</w:t>
      </w:r>
      <w:r w:rsidRPr="00815C59">
        <w:rPr>
          <w:rFonts w:ascii="Arial" w:hAnsi="Arial" w:cs="Arial"/>
          <w:sz w:val="20"/>
          <w:szCs w:val="20"/>
        </w:rPr>
        <w:t xml:space="preserve"> </w:t>
      </w:r>
      <w:r w:rsidRPr="00815C59">
        <w:rPr>
          <w:rFonts w:ascii="Arial" w:hAnsi="Arial" w:cs="Arial"/>
          <w:i/>
          <w:sz w:val="20"/>
          <w:szCs w:val="20"/>
        </w:rPr>
        <w:t>euro</w:t>
      </w:r>
      <w:r w:rsidRPr="00815C59">
        <w:rPr>
          <w:rFonts w:ascii="Arial" w:hAnsi="Arial" w:cs="Arial"/>
          <w:sz w:val="20"/>
          <w:szCs w:val="20"/>
        </w:rPr>
        <w:t>) apmērā par katru gadījumu.</w:t>
      </w:r>
    </w:p>
    <w:p w:rsidR="000D0948" w:rsidRPr="00815C59"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815C59">
        <w:rPr>
          <w:rFonts w:ascii="Arial" w:hAnsi="Arial" w:cs="Arial"/>
          <w:color w:val="000000" w:themeColor="text1"/>
          <w:sz w:val="20"/>
          <w:szCs w:val="20"/>
        </w:rPr>
        <w:t>8.</w:t>
      </w:r>
      <w:r w:rsidRPr="00815C59">
        <w:rPr>
          <w:rFonts w:ascii="Arial" w:hAnsi="Arial" w:cs="Arial"/>
          <w:sz w:val="20"/>
          <w:szCs w:val="20"/>
        </w:rPr>
        <w:t>7.</w:t>
      </w:r>
      <w:r w:rsidRPr="00815C59">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815C59">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815C59">
          <w:rPr>
            <w:rFonts w:ascii="Arial" w:hAnsi="Arial" w:cs="Arial"/>
            <w:sz w:val="20"/>
            <w:szCs w:val="20"/>
          </w:rPr>
          <w:t>, EUR</w:t>
        </w:r>
      </w:smartTag>
      <w:r w:rsidR="00EF5985" w:rsidRPr="00815C59">
        <w:rPr>
          <w:rFonts w:ascii="Arial" w:hAnsi="Arial" w:cs="Arial"/>
          <w:sz w:val="20"/>
          <w:szCs w:val="20"/>
        </w:rPr>
        <w:t xml:space="preserve"> 200 (divi simti</w:t>
      </w:r>
      <w:r w:rsidRPr="00815C59">
        <w:rPr>
          <w:rFonts w:ascii="Arial" w:hAnsi="Arial" w:cs="Arial"/>
          <w:sz w:val="20"/>
          <w:szCs w:val="20"/>
        </w:rPr>
        <w:t xml:space="preserve"> euro)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815C59">
        <w:rPr>
          <w:rFonts w:ascii="Arial" w:hAnsi="Arial" w:cs="Arial"/>
          <w:color w:val="000000" w:themeColor="text1"/>
          <w:sz w:val="20"/>
          <w:szCs w:val="20"/>
        </w:rPr>
        <w:t>8.</w:t>
      </w:r>
      <w:r w:rsidRPr="00815C59">
        <w:rPr>
          <w:rFonts w:ascii="Arial" w:hAnsi="Arial" w:cs="Arial"/>
          <w:sz w:val="20"/>
          <w:szCs w:val="20"/>
        </w:rPr>
        <w:t>8.</w:t>
      </w:r>
      <w:r w:rsidRPr="00815C59">
        <w:rPr>
          <w:rFonts w:ascii="Arial" w:hAnsi="Arial" w:cs="Arial"/>
          <w:sz w:val="20"/>
          <w:szCs w:val="20"/>
        </w:rPr>
        <w:tab/>
        <w:t xml:space="preserve">Pasūtītājam konstatējot Būvprojekta prasībām neatbilstošu materiālu pielietošanu ir tiesības pieprasīt Izpildītājam samaksāt par katru gadījumu līgumsodu  EUR 100 (viens simts  </w:t>
      </w:r>
      <w:r w:rsidRPr="00815C59">
        <w:rPr>
          <w:rFonts w:ascii="Arial" w:hAnsi="Arial" w:cs="Arial"/>
          <w:i/>
          <w:sz w:val="20"/>
          <w:szCs w:val="20"/>
        </w:rPr>
        <w:t>euro</w:t>
      </w:r>
      <w:r w:rsidRPr="00815C59">
        <w:rPr>
          <w:rFonts w:ascii="Arial" w:hAnsi="Arial" w:cs="Arial"/>
          <w:sz w:val="20"/>
          <w:szCs w:val="20"/>
        </w:rPr>
        <w:t>) apmērā no darba veida summas, kuram bija paredzēts konstatētais</w:t>
      </w:r>
      <w:r w:rsidRPr="000D0948">
        <w:rPr>
          <w:rFonts w:ascii="Arial" w:hAnsi="Arial" w:cs="Arial"/>
          <w:sz w:val="20"/>
          <w:szCs w:val="20"/>
        </w:rPr>
        <w:t xml:space="preserve">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EF5985">
        <w:rPr>
          <w:rFonts w:ascii="Arial" w:hAnsi="Arial" w:cs="Arial"/>
          <w:sz w:val="20"/>
          <w:szCs w:val="20"/>
        </w:rPr>
        <w:t>tādītu aktu, līdz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EF5985">
        <w:rPr>
          <w:rFonts w:ascii="Arial" w:hAnsi="Arial" w:cs="Arial"/>
          <w:sz w:val="20"/>
          <w:szCs w:val="20"/>
        </w:rPr>
        <w:t>iesības līgumsodu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xml:space="preserve"> par katru gadījumu.</w:t>
      </w:r>
    </w:p>
    <w:p w:rsidR="000D0948" w:rsidRPr="000D0948" w:rsidRDefault="000D0948" w:rsidP="000D0948">
      <w:pPr>
        <w:pStyle w:val="ListParagraph"/>
        <w:numPr>
          <w:ilvl w:val="0"/>
          <w:numId w:val="21"/>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lastRenderedPageBreak/>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D0948">
      <w:pPr>
        <w:widowControl w:val="0"/>
        <w:numPr>
          <w:ilvl w:val="1"/>
          <w:numId w:val="22"/>
        </w:numPr>
        <w:suppressAutoHyphens/>
        <w:spacing w:after="120"/>
        <w:ind w:left="540" w:hanging="567"/>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10.1.</w:t>
      </w:r>
      <w:r w:rsidRPr="000D0948">
        <w:rPr>
          <w:rFonts w:ascii="Arial" w:eastAsia="Arial Unicode MS" w:hAnsi="Arial" w:cs="Arial"/>
          <w:kern w:val="1"/>
          <w:sz w:val="20"/>
          <w:szCs w:val="20"/>
        </w:rPr>
        <w:tab/>
        <w:t xml:space="preserve"> 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 valsts varas un pārvaldes institūciju lēmumi.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10.2.</w:t>
      </w:r>
      <w:r w:rsidRPr="000D0948">
        <w:rPr>
          <w:rFonts w:ascii="Arial" w:eastAsia="Arial Unicode MS" w:hAnsi="Arial" w:cs="Arial"/>
          <w:kern w:val="1"/>
          <w:sz w:val="20"/>
          <w:szCs w:val="20"/>
        </w:rPr>
        <w:tab/>
        <w:t xml:space="preserve">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646441">
        <w:rPr>
          <w:rFonts w:ascii="Arial" w:eastAsia="Arial Unicode MS" w:hAnsi="Arial" w:cs="Arial"/>
          <w:kern w:val="1"/>
          <w:sz w:val="20"/>
          <w:szCs w:val="20"/>
        </w:rPr>
        <w:t xml:space="preserve"> minētās garantijas termiņš ir ...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5 (piecas) darba dienas iepriekš nosūtot Būvuzņēmējam rakstisku paziņojumu, ir 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B254A0"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p w:rsidR="007A66DF" w:rsidRDefault="007A66DF" w:rsidP="009E5892">
      <w:pPr>
        <w:jc w:val="right"/>
        <w:rPr>
          <w:rFonts w:ascii="Arial" w:hAnsi="Arial" w:cs="Arial"/>
          <w:b/>
          <w:color w:val="00000A"/>
          <w:sz w:val="20"/>
          <w:szCs w:val="20"/>
        </w:rPr>
      </w:pPr>
    </w:p>
    <w:p w:rsidR="007A66DF" w:rsidRDefault="007A66DF"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D64268" w:rsidRDefault="00D64268" w:rsidP="009E5892">
      <w:pPr>
        <w:jc w:val="right"/>
        <w:rPr>
          <w:rFonts w:ascii="Arial" w:hAnsi="Arial" w:cs="Arial"/>
          <w:b/>
          <w:color w:val="00000A"/>
          <w:sz w:val="20"/>
          <w:szCs w:val="20"/>
        </w:rPr>
      </w:pPr>
    </w:p>
    <w:p w:rsidR="007E022C" w:rsidRPr="00070D51" w:rsidRDefault="00D64268" w:rsidP="009E5892">
      <w:pPr>
        <w:jc w:val="right"/>
        <w:rPr>
          <w:rFonts w:ascii="Arial" w:hAnsi="Arial" w:cs="Arial"/>
          <w:b/>
          <w:color w:val="00000A"/>
          <w:sz w:val="20"/>
          <w:szCs w:val="20"/>
        </w:rPr>
      </w:pPr>
      <w:r>
        <w:rPr>
          <w:rFonts w:ascii="Arial" w:hAnsi="Arial" w:cs="Arial"/>
          <w:b/>
          <w:color w:val="00000A"/>
          <w:sz w:val="20"/>
          <w:szCs w:val="20"/>
        </w:rPr>
        <w:lastRenderedPageBreak/>
        <w:t>Pielikums Nr.9</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A963CB">
        <w:rPr>
          <w:rFonts w:ascii="Arial" w:hAnsi="Arial" w:cs="Arial"/>
          <w:bCs/>
          <w:color w:val="000000" w:themeColor="text1"/>
          <w:sz w:val="20"/>
          <w:szCs w:val="20"/>
        </w:rPr>
        <w:t>. JNP 2017/</w:t>
      </w:r>
      <w:r w:rsidR="00D64268">
        <w:rPr>
          <w:rFonts w:ascii="Arial" w:hAnsi="Arial" w:cs="Arial"/>
          <w:bCs/>
          <w:color w:val="000000" w:themeColor="text1"/>
          <w:sz w:val="20"/>
          <w:szCs w:val="20"/>
        </w:rPr>
        <w:t>63</w:t>
      </w:r>
    </w:p>
    <w:p w:rsidR="007E022C" w:rsidRPr="00B757EC" w:rsidRDefault="007E022C" w:rsidP="00BC4166">
      <w:pPr>
        <w:jc w:val="right"/>
        <w:rPr>
          <w:rFonts w:ascii="Arial" w:hAnsi="Arial" w:cs="Arial"/>
          <w:color w:val="000000" w:themeColor="text1"/>
          <w:sz w:val="20"/>
          <w:szCs w:val="20"/>
        </w:rPr>
      </w:pPr>
    </w:p>
    <w:p w:rsidR="0019164C" w:rsidRPr="00D64268" w:rsidRDefault="00280D5B" w:rsidP="00D64268">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0E5BE9" w:rsidRDefault="000E5BE9" w:rsidP="009C3A95"/>
    <w:p w:rsidR="000E5BE9" w:rsidRPr="00D64268" w:rsidRDefault="00B52DCD" w:rsidP="00D64268">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D64268" w:rsidRDefault="00D64268" w:rsidP="00D64268">
      <w:pPr>
        <w:jc w:val="center"/>
        <w:rPr>
          <w:rFonts w:ascii="Arial" w:hAnsi="Arial" w:cs="Arial"/>
          <w:b/>
          <w:sz w:val="20"/>
          <w:szCs w:val="20"/>
        </w:rPr>
      </w:pPr>
    </w:p>
    <w:p w:rsidR="00D64268" w:rsidRPr="00AC45A1" w:rsidRDefault="00D64268" w:rsidP="00D64268">
      <w:pPr>
        <w:numPr>
          <w:ilvl w:val="0"/>
          <w:numId w:val="39"/>
        </w:numPr>
        <w:jc w:val="both"/>
        <w:rPr>
          <w:rFonts w:ascii="Arial" w:hAnsi="Arial" w:cs="Arial"/>
          <w:color w:val="000000"/>
          <w:sz w:val="20"/>
          <w:szCs w:val="20"/>
          <w:lang w:eastAsia="en-US"/>
        </w:rPr>
      </w:pPr>
      <w:r w:rsidRPr="00AC45A1">
        <w:rPr>
          <w:rFonts w:ascii="Arial" w:hAnsi="Arial" w:cs="Arial"/>
          <w:sz w:val="20"/>
          <w:szCs w:val="20"/>
          <w:lang w:eastAsia="en-US"/>
        </w:rPr>
        <w:t>Iepirkuma priekšmets:</w:t>
      </w:r>
    </w:p>
    <w:p w:rsidR="00D64268" w:rsidRPr="00A41F76" w:rsidRDefault="00D64268" w:rsidP="00D64268">
      <w:pPr>
        <w:numPr>
          <w:ilvl w:val="0"/>
          <w:numId w:val="42"/>
        </w:numPr>
        <w:autoSpaceDE w:val="0"/>
        <w:autoSpaceDN w:val="0"/>
        <w:adjustRightInd w:val="0"/>
        <w:jc w:val="both"/>
        <w:rPr>
          <w:rFonts w:ascii="Arial" w:eastAsia="Calibri" w:hAnsi="Arial" w:cs="Arial"/>
          <w:bCs/>
          <w:color w:val="000000"/>
          <w:sz w:val="20"/>
          <w:szCs w:val="20"/>
        </w:rPr>
      </w:pPr>
      <w:r>
        <w:rPr>
          <w:rFonts w:ascii="Arial" w:eastAsia="Calibri" w:hAnsi="Arial" w:cs="Arial"/>
          <w:bCs/>
          <w:color w:val="000000"/>
          <w:sz w:val="20"/>
          <w:szCs w:val="20"/>
        </w:rPr>
        <w:t>Kapličas jaunbūve un teritorijas labiekārtošana, Zaļenieku pagasts,</w:t>
      </w:r>
      <w:r w:rsidRPr="00AC45A1">
        <w:rPr>
          <w:rFonts w:ascii="Arial" w:eastAsia="Calibri" w:hAnsi="Arial" w:cs="Arial"/>
          <w:bCs/>
          <w:color w:val="000000"/>
          <w:sz w:val="20"/>
          <w:szCs w:val="20"/>
        </w:rPr>
        <w:t xml:space="preserve"> Jelgavas novads; </w:t>
      </w:r>
    </w:p>
    <w:p w:rsidR="00D64268" w:rsidRPr="00AC45A1" w:rsidRDefault="00D64268" w:rsidP="00D64268">
      <w:pPr>
        <w:autoSpaceDE w:val="0"/>
        <w:autoSpaceDN w:val="0"/>
        <w:adjustRightInd w:val="0"/>
        <w:jc w:val="both"/>
        <w:rPr>
          <w:rFonts w:ascii="Arial" w:eastAsia="Calibri" w:hAnsi="Arial" w:cs="Arial"/>
          <w:bCs/>
          <w:color w:val="000000"/>
          <w:sz w:val="20"/>
          <w:szCs w:val="20"/>
        </w:rPr>
      </w:pPr>
    </w:p>
    <w:p w:rsidR="00D64268" w:rsidRPr="00AC45A1" w:rsidRDefault="00D64268" w:rsidP="00D64268">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D64268" w:rsidRPr="001B7E4D" w:rsidRDefault="00D64268" w:rsidP="00D64268">
      <w:pPr>
        <w:numPr>
          <w:ilvl w:val="0"/>
          <w:numId w:val="43"/>
        </w:numPr>
        <w:contextualSpacing/>
        <w:jc w:val="both"/>
        <w:rPr>
          <w:rFonts w:ascii="Arial" w:hAnsi="Arial" w:cs="Arial"/>
          <w:color w:val="000000"/>
          <w:sz w:val="20"/>
          <w:szCs w:val="20"/>
          <w:lang w:eastAsia="en-US"/>
        </w:rPr>
      </w:pPr>
      <w:r>
        <w:rPr>
          <w:rFonts w:ascii="Arial" w:hAnsi="Arial" w:cs="Arial"/>
          <w:sz w:val="20"/>
          <w:szCs w:val="20"/>
          <w:lang w:eastAsia="en-US"/>
        </w:rPr>
        <w:t>A.Ziemeļnieces</w:t>
      </w:r>
      <w:r w:rsidRPr="00AC45A1">
        <w:rPr>
          <w:rFonts w:ascii="Arial" w:hAnsi="Arial" w:cs="Arial"/>
          <w:sz w:val="20"/>
          <w:szCs w:val="20"/>
          <w:lang w:eastAsia="en-US"/>
        </w:rPr>
        <w:t xml:space="preserve"> izstrādāto </w:t>
      </w:r>
      <w:r>
        <w:rPr>
          <w:rFonts w:ascii="Arial" w:hAnsi="Arial" w:cs="Arial"/>
          <w:sz w:val="20"/>
          <w:szCs w:val="20"/>
          <w:lang w:eastAsia="en-US"/>
        </w:rPr>
        <w:t>būv</w:t>
      </w:r>
      <w:r w:rsidRPr="00AC45A1">
        <w:rPr>
          <w:rFonts w:ascii="Arial" w:hAnsi="Arial" w:cs="Arial"/>
          <w:sz w:val="20"/>
          <w:szCs w:val="20"/>
          <w:lang w:eastAsia="en-US"/>
        </w:rPr>
        <w:t>projektu;</w:t>
      </w:r>
    </w:p>
    <w:p w:rsidR="00D64268" w:rsidRDefault="00D64268" w:rsidP="00D64268">
      <w:pPr>
        <w:jc w:val="both"/>
        <w:rPr>
          <w:rFonts w:ascii="Arial" w:hAnsi="Arial" w:cs="Arial"/>
          <w:color w:val="000000"/>
          <w:sz w:val="20"/>
          <w:szCs w:val="20"/>
          <w:lang w:eastAsia="en-US"/>
        </w:rPr>
      </w:pPr>
    </w:p>
    <w:p w:rsidR="00D64268" w:rsidRDefault="00D64268" w:rsidP="00D64268">
      <w:pPr>
        <w:numPr>
          <w:ilvl w:val="0"/>
          <w:numId w:val="39"/>
        </w:numPr>
        <w:jc w:val="both"/>
        <w:rPr>
          <w:rFonts w:ascii="Arial" w:hAnsi="Arial" w:cs="Arial"/>
          <w:color w:val="000000"/>
          <w:sz w:val="20"/>
          <w:szCs w:val="20"/>
          <w:lang w:eastAsia="en-US"/>
        </w:rPr>
      </w:pPr>
      <w:r>
        <w:rPr>
          <w:rFonts w:ascii="Arial" w:hAnsi="Arial" w:cs="Arial"/>
          <w:color w:val="000000"/>
          <w:sz w:val="20"/>
          <w:szCs w:val="20"/>
          <w:lang w:eastAsia="en-US"/>
        </w:rPr>
        <w:t>Ieinteresētais Izpildītājs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D64268" w:rsidRDefault="00D64268" w:rsidP="00D64268">
      <w:pPr>
        <w:numPr>
          <w:ilvl w:val="0"/>
          <w:numId w:val="39"/>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būvprojektu,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D64268" w:rsidRDefault="00D64268" w:rsidP="00D64268">
      <w:pPr>
        <w:numPr>
          <w:ilvl w:val="0"/>
          <w:numId w:val="39"/>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būvprojektā paredzētos darbus,  tehniskajā specifikācijā minētos darbus un apjomus, kā arī jāparedz visi iespējamie riski saistībā ar iespējamo izdevumu palielināšanos.</w:t>
      </w:r>
    </w:p>
    <w:p w:rsidR="00D64268" w:rsidRDefault="00D64268" w:rsidP="00D64268">
      <w:pPr>
        <w:numPr>
          <w:ilvl w:val="0"/>
          <w:numId w:val="39"/>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r w:rsidRPr="00AC45A1">
        <w:rPr>
          <w:rFonts w:ascii="Arial" w:hAnsi="Arial" w:cs="Arial"/>
          <w:color w:val="000000"/>
          <w:sz w:val="20"/>
          <w:szCs w:val="20"/>
          <w:lang w:eastAsia="en-US"/>
        </w:rPr>
        <w:t>būvtāfeles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D64268" w:rsidRDefault="00D64268" w:rsidP="00D64268">
      <w:pPr>
        <w:numPr>
          <w:ilvl w:val="0"/>
          <w:numId w:val="39"/>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D64268" w:rsidRDefault="00D64268" w:rsidP="00D64268">
      <w:pPr>
        <w:numPr>
          <w:ilvl w:val="0"/>
          <w:numId w:val="39"/>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iepirkuma uzvarētājam jāiesniedz paziņojums Valsts Darba inspekcijai par darbu uzsākšanu objektā. Paziņojuma kopija jāiesniedz Pasūtītājam.</w:t>
      </w:r>
    </w:p>
    <w:p w:rsidR="00D64268" w:rsidRDefault="00D64268" w:rsidP="00D64268">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D64268" w:rsidRDefault="00D64268" w:rsidP="00D64268">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D64268" w:rsidRDefault="00D64268" w:rsidP="00D64268">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būvuzņēmēja civiltiesiskās atbildības obligātās apdrošināšanas polises kopija;</w:t>
      </w:r>
    </w:p>
    <w:p w:rsidR="00D64268" w:rsidRDefault="00D64268" w:rsidP="00D64268">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atbildīgo būvspeciālistu profesionālā civiltiesiskās atbildības obligātās apdrošināšanas polišu kopijas;</w:t>
      </w:r>
    </w:p>
    <w:p w:rsidR="00D64268" w:rsidRDefault="00D64268" w:rsidP="00D64268">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D64268" w:rsidRDefault="00D64268" w:rsidP="00D64268">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„Latvijas valsts ceļi” saskaņota transporta organizācijas shēma (ja nepieciešama);</w:t>
      </w:r>
    </w:p>
    <w:p w:rsidR="00D64268" w:rsidRDefault="00D64268" w:rsidP="00D64268">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būvuzņēmēja iesnieguma kopija Valsts Darba inspekcijai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D64268" w:rsidRDefault="00D64268" w:rsidP="00D64268">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D64268" w:rsidRDefault="00D64268" w:rsidP="00D64268">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D64268" w:rsidRPr="00AC45A1" w:rsidRDefault="00D64268" w:rsidP="00D64268">
      <w:pPr>
        <w:numPr>
          <w:ilvl w:val="0"/>
          <w:numId w:val="44"/>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D64268" w:rsidRDefault="00D64268" w:rsidP="00D64268">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rīkojumi un sertifikāti par atbildīgo darba aizsardzības koordinatoru un ugunsdrošības speciālista nozīmēšanu objektā;</w:t>
      </w:r>
    </w:p>
    <w:p w:rsidR="00D64268" w:rsidRDefault="00D64268" w:rsidP="00D64268">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D64268" w:rsidRDefault="00D64268" w:rsidP="00D64268">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 xml:space="preserve">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w:t>
      </w:r>
      <w:r>
        <w:rPr>
          <w:rFonts w:ascii="Arial" w:hAnsi="Arial" w:cs="Arial"/>
          <w:sz w:val="20"/>
          <w:szCs w:val="20"/>
          <w:lang w:eastAsia="en-US"/>
        </w:rPr>
        <w:lastRenderedPageBreak/>
        <w:t>ne retāk kā vienu reizi nedēļā. Par sapulču norises vietu un laiku pasūtītājas ar iepirkuma uzvarētāju vienojas atsevišķi.</w:t>
      </w:r>
    </w:p>
    <w:p w:rsidR="00D64268" w:rsidRDefault="00D64268" w:rsidP="00D64268">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D64268" w:rsidRDefault="00D64268" w:rsidP="00D64268">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D64268" w:rsidRDefault="00D64268" w:rsidP="00D64268">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D64268" w:rsidRPr="00D64268" w:rsidRDefault="00D64268" w:rsidP="00D64268">
      <w:pPr>
        <w:numPr>
          <w:ilvl w:val="0"/>
          <w:numId w:val="39"/>
        </w:numPr>
        <w:tabs>
          <w:tab w:val="num" w:pos="0"/>
        </w:tabs>
        <w:jc w:val="both"/>
        <w:rPr>
          <w:rFonts w:ascii="Arial" w:hAnsi="Arial" w:cs="Arial"/>
          <w:sz w:val="20"/>
          <w:szCs w:val="20"/>
          <w:lang w:eastAsia="en-US"/>
        </w:rPr>
      </w:pPr>
      <w:r w:rsidRPr="00D64268">
        <w:rPr>
          <w:rFonts w:ascii="Arial" w:hAnsi="Arial" w:cs="Arial"/>
          <w:sz w:val="20"/>
          <w:szCs w:val="20"/>
          <w:lang w:eastAsia="en-US"/>
        </w:rPr>
        <w:t xml:space="preserve">Darba uzsākšanas laiks ir paredzēts </w:t>
      </w:r>
      <w:r w:rsidR="009A0261">
        <w:rPr>
          <w:rFonts w:ascii="Arial" w:hAnsi="Arial" w:cs="Arial"/>
          <w:sz w:val="20"/>
          <w:szCs w:val="20"/>
          <w:lang w:eastAsia="en-US"/>
        </w:rPr>
        <w:t>septembrī</w:t>
      </w:r>
      <w:r w:rsidRPr="00D64268">
        <w:rPr>
          <w:rFonts w:ascii="Arial" w:hAnsi="Arial" w:cs="Arial"/>
          <w:sz w:val="20"/>
          <w:szCs w:val="20"/>
          <w:lang w:eastAsia="en-US"/>
        </w:rPr>
        <w:t xml:space="preserve">. Septembrī paredzēts veikt zemes darbus un izbūvēt ēkas pamatus. Pēc tehnoloģiskā pārtraukuma darbus uzsākt atbilstoši laikapstākļiem. Būvdarbu paredzamais </w:t>
      </w:r>
      <w:r>
        <w:rPr>
          <w:rFonts w:ascii="Arial" w:hAnsi="Arial" w:cs="Arial"/>
          <w:sz w:val="20"/>
          <w:szCs w:val="20"/>
          <w:lang w:eastAsia="en-US"/>
        </w:rPr>
        <w:t xml:space="preserve">beigu termiņš 2018.gada </w:t>
      </w:r>
      <w:r w:rsidR="009A0261">
        <w:rPr>
          <w:rFonts w:ascii="Arial" w:hAnsi="Arial" w:cs="Arial"/>
          <w:sz w:val="20"/>
          <w:szCs w:val="20"/>
          <w:lang w:eastAsia="en-US"/>
        </w:rPr>
        <w:t>30.</w:t>
      </w:r>
      <w:r>
        <w:rPr>
          <w:rFonts w:ascii="Arial" w:hAnsi="Arial" w:cs="Arial"/>
          <w:sz w:val="20"/>
          <w:szCs w:val="20"/>
          <w:lang w:eastAsia="en-US"/>
        </w:rPr>
        <w:t>a</w:t>
      </w:r>
      <w:r w:rsidRPr="00D64268">
        <w:rPr>
          <w:rFonts w:ascii="Arial" w:hAnsi="Arial" w:cs="Arial"/>
          <w:sz w:val="20"/>
          <w:szCs w:val="20"/>
          <w:lang w:eastAsia="en-US"/>
        </w:rPr>
        <w:t>ugusts.</w:t>
      </w:r>
    </w:p>
    <w:p w:rsidR="00D64268" w:rsidRPr="009A0261" w:rsidRDefault="00D64268" w:rsidP="009A0261">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D64268" w:rsidRDefault="00D64268" w:rsidP="00D64268">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D64268" w:rsidRDefault="00D64268" w:rsidP="00D64268">
      <w:pPr>
        <w:numPr>
          <w:ilvl w:val="0"/>
          <w:numId w:val="45"/>
        </w:numPr>
        <w:tabs>
          <w:tab w:val="num" w:pos="567"/>
        </w:tabs>
        <w:ind w:left="360"/>
        <w:jc w:val="both"/>
        <w:rPr>
          <w:rFonts w:ascii="Arial" w:hAnsi="Arial" w:cs="Arial"/>
          <w:sz w:val="20"/>
          <w:szCs w:val="20"/>
          <w:lang w:eastAsia="en-US"/>
        </w:rPr>
      </w:pPr>
      <w:r w:rsidRPr="00A41F76">
        <w:rPr>
          <w:rFonts w:ascii="Arial" w:hAnsi="Arial" w:cs="Arial"/>
          <w:sz w:val="20"/>
          <w:szCs w:val="20"/>
        </w:rPr>
        <w:t>ēkas kadastrālās uzmērīšanas lieta</w:t>
      </w:r>
      <w:r w:rsidRPr="00A41F76">
        <w:rPr>
          <w:rFonts w:ascii="Arial" w:hAnsi="Arial" w:cs="Arial"/>
          <w:sz w:val="20"/>
          <w:szCs w:val="20"/>
          <w:lang w:eastAsia="en-US"/>
        </w:rPr>
        <w:t>;</w:t>
      </w:r>
    </w:p>
    <w:p w:rsidR="00D64268" w:rsidRPr="00A41F76" w:rsidRDefault="00D64268" w:rsidP="00D64268">
      <w:pPr>
        <w:numPr>
          <w:ilvl w:val="0"/>
          <w:numId w:val="45"/>
        </w:numPr>
        <w:tabs>
          <w:tab w:val="num" w:pos="567"/>
        </w:tabs>
        <w:ind w:left="360"/>
        <w:jc w:val="both"/>
        <w:rPr>
          <w:rFonts w:ascii="Arial" w:hAnsi="Arial" w:cs="Arial"/>
          <w:sz w:val="20"/>
          <w:szCs w:val="20"/>
          <w:lang w:eastAsia="en-US"/>
        </w:rPr>
      </w:pPr>
      <w:r>
        <w:rPr>
          <w:rFonts w:ascii="Arial" w:hAnsi="Arial" w:cs="Arial"/>
          <w:sz w:val="20"/>
          <w:szCs w:val="20"/>
          <w:lang w:eastAsia="en-US"/>
        </w:rPr>
        <w:t>inženiertopogrāfiskais plāns, izpildshēmu mērījumi;</w:t>
      </w:r>
      <w:r w:rsidRPr="00A41F76">
        <w:rPr>
          <w:rFonts w:ascii="Arial" w:hAnsi="Arial" w:cs="Arial"/>
          <w:sz w:val="20"/>
          <w:szCs w:val="20"/>
          <w:lang w:eastAsia="en-US"/>
        </w:rPr>
        <w:t xml:space="preserve"> </w:t>
      </w:r>
    </w:p>
    <w:p w:rsidR="00D64268" w:rsidRDefault="00D64268" w:rsidP="00D64268">
      <w:pPr>
        <w:numPr>
          <w:ilvl w:val="0"/>
          <w:numId w:val="45"/>
        </w:numPr>
        <w:tabs>
          <w:tab w:val="num" w:pos="567"/>
        </w:tabs>
        <w:ind w:left="360"/>
        <w:jc w:val="both"/>
        <w:rPr>
          <w:rFonts w:ascii="Arial" w:hAnsi="Arial" w:cs="Arial"/>
          <w:sz w:val="20"/>
          <w:szCs w:val="20"/>
          <w:lang w:eastAsia="en-US"/>
        </w:rPr>
      </w:pPr>
      <w:r>
        <w:rPr>
          <w:rFonts w:ascii="Arial" w:hAnsi="Arial" w:cs="Arial"/>
          <w:sz w:val="20"/>
          <w:szCs w:val="20"/>
          <w:lang w:eastAsia="en-US"/>
        </w:rPr>
        <w:t>tehniskā izpilddokumentācija:</w:t>
      </w:r>
    </w:p>
    <w:p w:rsidR="00D64268" w:rsidRDefault="00D64268" w:rsidP="00D64268">
      <w:pPr>
        <w:numPr>
          <w:ilvl w:val="1"/>
          <w:numId w:val="45"/>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segto darbu akti;</w:t>
      </w:r>
    </w:p>
    <w:p w:rsidR="00D64268" w:rsidRDefault="00D64268" w:rsidP="00D64268">
      <w:pPr>
        <w:numPr>
          <w:ilvl w:val="1"/>
          <w:numId w:val="45"/>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būvmateriālu atbilstības deklarācijas un ekspluatācijas īpašību deklarācijas;</w:t>
      </w:r>
    </w:p>
    <w:p w:rsidR="00D64268" w:rsidRDefault="00D64268" w:rsidP="00D64268">
      <w:pPr>
        <w:numPr>
          <w:ilvl w:val="1"/>
          <w:numId w:val="45"/>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 xml:space="preserve">izbūvēto inženierkomunikāciju izpilduzmērījumi </w:t>
      </w:r>
      <w:r>
        <w:rPr>
          <w:rFonts w:ascii="Arial" w:hAnsi="Arial" w:cs="Arial"/>
          <w:color w:val="000000"/>
          <w:sz w:val="20"/>
          <w:szCs w:val="20"/>
          <w:lang w:eastAsia="en-US"/>
        </w:rPr>
        <w:t xml:space="preserve">gan papīra izdrukas, gan digitālā (CD) formātā. Iestrādāto inženierkomunikāciju izpilddokumentācija; </w:t>
      </w:r>
    </w:p>
    <w:p w:rsidR="00D64268" w:rsidRDefault="00D64268" w:rsidP="00D64268">
      <w:pPr>
        <w:numPr>
          <w:ilvl w:val="1"/>
          <w:numId w:val="45"/>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elektrosistēmu pārbaužu akti;</w:t>
      </w:r>
    </w:p>
    <w:p w:rsidR="00D64268" w:rsidRPr="00D61536" w:rsidRDefault="00D64268" w:rsidP="00D64268">
      <w:pPr>
        <w:numPr>
          <w:ilvl w:val="1"/>
          <w:numId w:val="45"/>
        </w:numPr>
        <w:tabs>
          <w:tab w:val="num" w:pos="567"/>
          <w:tab w:val="num" w:pos="1309"/>
          <w:tab w:val="num" w:pos="1856"/>
        </w:tabs>
        <w:ind w:left="360"/>
        <w:jc w:val="both"/>
        <w:rPr>
          <w:rFonts w:ascii="Arial" w:hAnsi="Arial" w:cs="Arial"/>
          <w:color w:val="000000"/>
          <w:sz w:val="20"/>
          <w:szCs w:val="20"/>
          <w:lang w:eastAsia="en-US"/>
        </w:rPr>
      </w:pPr>
      <w:r w:rsidRPr="00D61536">
        <w:rPr>
          <w:rFonts w:ascii="Arial" w:hAnsi="Arial" w:cs="Arial"/>
          <w:color w:val="000000"/>
          <w:sz w:val="20"/>
          <w:szCs w:val="20"/>
          <w:lang w:eastAsia="en-US"/>
        </w:rPr>
        <w:t>elektrosistēmu pretestību mērījumu protokoli;</w:t>
      </w:r>
    </w:p>
    <w:p w:rsidR="00D64268" w:rsidRDefault="00D64268" w:rsidP="00D64268">
      <w:pPr>
        <w:numPr>
          <w:ilvl w:val="1"/>
          <w:numId w:val="45"/>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inženiertehnisko sistēmu izpildshēmas un izpilddokumentācija;</w:t>
      </w:r>
    </w:p>
    <w:p w:rsidR="00D64268" w:rsidRDefault="00D64268" w:rsidP="00D64268">
      <w:pPr>
        <w:numPr>
          <w:ilvl w:val="0"/>
          <w:numId w:val="39"/>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būvdarbus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D64268" w:rsidRDefault="00D64268" w:rsidP="00D64268">
      <w:pPr>
        <w:numPr>
          <w:ilvl w:val="0"/>
          <w:numId w:val="39"/>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r w:rsidRPr="00A41F76">
        <w:rPr>
          <w:rFonts w:ascii="Arial" w:hAnsi="Arial" w:cs="Arial"/>
          <w:sz w:val="20"/>
          <w:szCs w:val="20"/>
        </w:rPr>
        <w:t>ēkas kadastrālā uzmērīšanas lieta</w:t>
      </w:r>
      <w:r>
        <w:rPr>
          <w:rFonts w:ascii="Arial" w:hAnsi="Arial" w:cs="Arial"/>
          <w:sz w:val="20"/>
          <w:szCs w:val="20"/>
        </w:rPr>
        <w:t xml:space="preserve"> un inženiertopogrāfiskais plāns</w:t>
      </w:r>
      <w:r w:rsidRPr="00A41F76">
        <w:rPr>
          <w:rFonts w:ascii="Arial" w:hAnsi="Arial" w:cs="Arial"/>
          <w:sz w:val="20"/>
          <w:szCs w:val="20"/>
          <w:lang w:eastAsia="en-US"/>
        </w:rPr>
        <w:t>;</w:t>
      </w:r>
      <w:r>
        <w:rPr>
          <w:rFonts w:ascii="Arial" w:hAnsi="Arial" w:cs="Arial"/>
          <w:sz w:val="20"/>
          <w:szCs w:val="20"/>
          <w:lang w:eastAsia="en-US"/>
        </w:rPr>
        <w:t xml:space="preserve"> </w:t>
      </w:r>
    </w:p>
    <w:p w:rsidR="00D64268" w:rsidRDefault="00D64268" w:rsidP="00D64268">
      <w:pPr>
        <w:numPr>
          <w:ilvl w:val="0"/>
          <w:numId w:val="39"/>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D64268" w:rsidRDefault="00D64268" w:rsidP="00D64268">
      <w:pPr>
        <w:numPr>
          <w:ilvl w:val="0"/>
          <w:numId w:val="3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D64268" w:rsidRDefault="00D64268" w:rsidP="00D64268">
      <w:pPr>
        <w:numPr>
          <w:ilvl w:val="0"/>
          <w:numId w:val="3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Darbu izpildes grafikā jāparedz laiks ēkas nodošanai ekspluatācijā, jo tikai pēc Jelgavas novada būvvaldes akta par ēkas pieņemšanu ekspluatācijā, tiks parakstīts pieņemšanas-nodošanas akts.</w:t>
      </w:r>
    </w:p>
    <w:p w:rsidR="00D64268" w:rsidRDefault="00D64268" w:rsidP="00D64268">
      <w:pPr>
        <w:rPr>
          <w:rFonts w:ascii="Arial" w:eastAsiaTheme="minorHAnsi" w:hAnsi="Arial" w:cs="Arial"/>
          <w:sz w:val="20"/>
          <w:szCs w:val="20"/>
          <w:lang w:eastAsia="en-US"/>
        </w:rPr>
      </w:pPr>
    </w:p>
    <w:p w:rsidR="00D64268" w:rsidRDefault="00D64268" w:rsidP="00D64268">
      <w:pPr>
        <w:jc w:val="right"/>
        <w:rPr>
          <w:rFonts w:ascii="Arial" w:hAnsi="Arial" w:cs="Arial"/>
          <w:color w:val="000000" w:themeColor="text1"/>
          <w:sz w:val="20"/>
          <w:szCs w:val="20"/>
        </w:rPr>
      </w:pPr>
    </w:p>
    <w:p w:rsidR="00D64268" w:rsidRDefault="00D64268" w:rsidP="00D64268">
      <w:pPr>
        <w:jc w:val="right"/>
        <w:rPr>
          <w:rFonts w:ascii="Arial" w:hAnsi="Arial" w:cs="Arial"/>
          <w:color w:val="000000" w:themeColor="text1"/>
          <w:sz w:val="20"/>
          <w:szCs w:val="20"/>
        </w:rPr>
      </w:pPr>
    </w:p>
    <w:p w:rsidR="00D64268" w:rsidRDefault="00D64268" w:rsidP="00D64268">
      <w:pPr>
        <w:jc w:val="right"/>
        <w:rPr>
          <w:rFonts w:ascii="Arial" w:hAnsi="Arial" w:cs="Arial"/>
          <w:color w:val="000000" w:themeColor="text1"/>
          <w:sz w:val="20"/>
          <w:szCs w:val="20"/>
        </w:rPr>
      </w:pPr>
    </w:p>
    <w:p w:rsidR="00D64268" w:rsidRDefault="00D64268" w:rsidP="00D64268"/>
    <w:p w:rsidR="00D64268" w:rsidRPr="009403F3" w:rsidRDefault="00D64268" w:rsidP="00D64268">
      <w:pPr>
        <w:jc w:val="center"/>
        <w:rPr>
          <w:rFonts w:ascii="Arial" w:hAnsi="Arial" w:cs="Arial"/>
          <w:b/>
          <w:caps/>
          <w:sz w:val="20"/>
          <w:szCs w:val="20"/>
        </w:rPr>
      </w:pPr>
    </w:p>
    <w:p w:rsidR="00D64268" w:rsidRPr="009403F3" w:rsidRDefault="00D64268" w:rsidP="00D64268">
      <w:pPr>
        <w:jc w:val="center"/>
        <w:rPr>
          <w:rFonts w:ascii="Arial" w:hAnsi="Arial" w:cs="Arial"/>
          <w:b/>
          <w:caps/>
          <w:sz w:val="20"/>
          <w:szCs w:val="20"/>
        </w:rPr>
      </w:pPr>
    </w:p>
    <w:p w:rsidR="00D64268" w:rsidRPr="009403F3" w:rsidRDefault="00D64268" w:rsidP="00D64268">
      <w:pPr>
        <w:jc w:val="center"/>
        <w:rPr>
          <w:rFonts w:ascii="Arial" w:hAnsi="Arial" w:cs="Arial"/>
          <w:b/>
          <w:caps/>
          <w:sz w:val="20"/>
          <w:szCs w:val="20"/>
        </w:rPr>
      </w:pPr>
    </w:p>
    <w:p w:rsidR="00D64268" w:rsidRPr="009403F3" w:rsidRDefault="00D64268" w:rsidP="00D64268">
      <w:pPr>
        <w:jc w:val="center"/>
        <w:rPr>
          <w:rFonts w:ascii="Arial" w:hAnsi="Arial" w:cs="Arial"/>
          <w:b/>
          <w:sz w:val="20"/>
          <w:szCs w:val="20"/>
        </w:rPr>
      </w:pPr>
    </w:p>
    <w:p w:rsidR="00D64268" w:rsidRDefault="00D64268" w:rsidP="00D64268">
      <w:pPr>
        <w:jc w:val="right"/>
        <w:rPr>
          <w:rFonts w:ascii="Arial" w:hAnsi="Arial" w:cs="Arial"/>
          <w:color w:val="000000" w:themeColor="text1"/>
          <w:sz w:val="20"/>
          <w:szCs w:val="20"/>
        </w:rPr>
      </w:pP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0E5BE9" w:rsidRDefault="000E5BE9" w:rsidP="009C3A95"/>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p w:rsidR="007A66DF" w:rsidRDefault="007A66DF" w:rsidP="00865023">
      <w:pPr>
        <w:pStyle w:val="Index1"/>
      </w:pPr>
    </w:p>
    <w:sectPr w:rsidR="007A66DF">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E7" w:rsidRDefault="002C05E7" w:rsidP="000631A3">
      <w:r>
        <w:separator/>
      </w:r>
    </w:p>
  </w:endnote>
  <w:endnote w:type="continuationSeparator" w:id="0">
    <w:p w:rsidR="002C05E7" w:rsidRDefault="002C05E7"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2C05E7" w:rsidRDefault="002C05E7">
        <w:pPr>
          <w:pStyle w:val="Footer"/>
          <w:jc w:val="right"/>
        </w:pPr>
        <w:r>
          <w:fldChar w:fldCharType="begin"/>
        </w:r>
        <w:r>
          <w:instrText xml:space="preserve"> PAGE   \* MERGEFORMAT </w:instrText>
        </w:r>
        <w:r>
          <w:fldChar w:fldCharType="separate"/>
        </w:r>
        <w:r w:rsidR="005A0D37">
          <w:rPr>
            <w:noProof/>
          </w:rPr>
          <w:t>2</w:t>
        </w:r>
        <w:r>
          <w:rPr>
            <w:noProof/>
          </w:rPr>
          <w:fldChar w:fldCharType="end"/>
        </w:r>
      </w:p>
    </w:sdtContent>
  </w:sdt>
  <w:p w:rsidR="002C05E7" w:rsidRDefault="002C0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E7" w:rsidRDefault="002C05E7">
    <w:pPr>
      <w:pStyle w:val="Footer"/>
      <w:jc w:val="center"/>
    </w:pPr>
    <w:r>
      <w:fldChar w:fldCharType="begin"/>
    </w:r>
    <w:r>
      <w:instrText xml:space="preserve"> PAGE   \* MERGEFORMAT </w:instrText>
    </w:r>
    <w:r>
      <w:fldChar w:fldCharType="separate"/>
    </w:r>
    <w:r w:rsidR="005A0D37">
      <w:rPr>
        <w:noProof/>
      </w:rPr>
      <w:t>19</w:t>
    </w:r>
    <w:r>
      <w:fldChar w:fldCharType="end"/>
    </w:r>
  </w:p>
  <w:p w:rsidR="002C05E7" w:rsidRDefault="002C0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E7" w:rsidRDefault="002C05E7" w:rsidP="000631A3">
      <w:r>
        <w:separator/>
      </w:r>
    </w:p>
  </w:footnote>
  <w:footnote w:type="continuationSeparator" w:id="0">
    <w:p w:rsidR="002C05E7" w:rsidRDefault="002C05E7" w:rsidP="000631A3">
      <w:r>
        <w:continuationSeparator/>
      </w:r>
    </w:p>
  </w:footnote>
  <w:footnote w:id="1">
    <w:p w:rsidR="002C05E7" w:rsidRPr="00730F6E" w:rsidRDefault="002C05E7"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2C05E7" w:rsidRPr="000810FE" w:rsidRDefault="002C05E7"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7">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3">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2">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4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0"/>
  </w:num>
  <w:num w:numId="2">
    <w:abstractNumId w:val="42"/>
  </w:num>
  <w:num w:numId="3">
    <w:abstractNumId w:val="19"/>
  </w:num>
  <w:num w:numId="4">
    <w:abstractNumId w:val="24"/>
  </w:num>
  <w:num w:numId="5">
    <w:abstractNumId w:val="36"/>
  </w:num>
  <w:num w:numId="6">
    <w:abstractNumId w:val="7"/>
  </w:num>
  <w:num w:numId="7">
    <w:abstractNumId w:val="31"/>
  </w:num>
  <w:num w:numId="8">
    <w:abstractNumId w:val="25"/>
  </w:num>
  <w:num w:numId="9">
    <w:abstractNumId w:val="9"/>
  </w:num>
  <w:num w:numId="10">
    <w:abstractNumId w:val="8"/>
  </w:num>
  <w:num w:numId="11">
    <w:abstractNumId w:val="15"/>
  </w:num>
  <w:num w:numId="12">
    <w:abstractNumId w:val="10"/>
  </w:num>
  <w:num w:numId="13">
    <w:abstractNumId w:val="23"/>
  </w:num>
  <w:num w:numId="14">
    <w:abstractNumId w:val="1"/>
  </w:num>
  <w:num w:numId="15">
    <w:abstractNumId w:val="2"/>
  </w:num>
  <w:num w:numId="16">
    <w:abstractNumId w:val="16"/>
  </w:num>
  <w:num w:numId="17">
    <w:abstractNumId w:val="34"/>
  </w:num>
  <w:num w:numId="18">
    <w:abstractNumId w:val="26"/>
  </w:num>
  <w:num w:numId="19">
    <w:abstractNumId w:val="41"/>
  </w:num>
  <w:num w:numId="20">
    <w:abstractNumId w:val="35"/>
  </w:num>
  <w:num w:numId="21">
    <w:abstractNumId w:val="38"/>
  </w:num>
  <w:num w:numId="22">
    <w:abstractNumId w:val="13"/>
  </w:num>
  <w:num w:numId="23">
    <w:abstractNumId w:val="37"/>
  </w:num>
  <w:num w:numId="24">
    <w:abstractNumId w:val="4"/>
  </w:num>
  <w:num w:numId="25">
    <w:abstractNumId w:val="12"/>
  </w:num>
  <w:num w:numId="26">
    <w:abstractNumId w:val="6"/>
  </w:num>
  <w:num w:numId="27">
    <w:abstractNumId w:val="8"/>
    <w:lvlOverride w:ilvl="0">
      <w:startOverride w:val="7"/>
    </w:lvlOverride>
    <w:lvlOverride w:ilvl="1">
      <w:startOverride w:val="1"/>
    </w:lvlOverride>
    <w:lvlOverride w:ilvl="2">
      <w:startOverride w:val="8"/>
    </w:lvlOverride>
  </w:num>
  <w:num w:numId="28">
    <w:abstractNumId w:val="21"/>
  </w:num>
  <w:num w:numId="29">
    <w:abstractNumId w:val="11"/>
  </w:num>
  <w:num w:numId="30">
    <w:abstractNumId w:val="39"/>
  </w:num>
  <w:num w:numId="31">
    <w:abstractNumId w:val="17"/>
  </w:num>
  <w:num w:numId="32">
    <w:abstractNumId w:val="29"/>
  </w:num>
  <w:num w:numId="33">
    <w:abstractNumId w:val="27"/>
  </w:num>
  <w:num w:numId="34">
    <w:abstractNumId w:val="20"/>
  </w:num>
  <w:num w:numId="35">
    <w:abstractNumId w:val="14"/>
  </w:num>
  <w:num w:numId="36">
    <w:abstractNumId w:val="8"/>
    <w:lvlOverride w:ilvl="0">
      <w:startOverride w:val="9"/>
    </w:lvlOverride>
    <w:lvlOverride w:ilvl="1">
      <w:startOverride w:val="3"/>
    </w:lvlOverride>
    <w:lvlOverride w:ilvl="2">
      <w:startOverride w:val="12"/>
    </w:lvlOverride>
  </w:num>
  <w:num w:numId="37">
    <w:abstractNumId w:val="30"/>
  </w:num>
  <w:num w:numId="38">
    <w:abstractNumId w:val="0"/>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5BD0"/>
    <w:rsid w:val="00016B4A"/>
    <w:rsid w:val="00017B41"/>
    <w:rsid w:val="0002092C"/>
    <w:rsid w:val="0002250D"/>
    <w:rsid w:val="00025724"/>
    <w:rsid w:val="00032BC0"/>
    <w:rsid w:val="00033C7F"/>
    <w:rsid w:val="0003612F"/>
    <w:rsid w:val="0004041C"/>
    <w:rsid w:val="00041B48"/>
    <w:rsid w:val="000472D9"/>
    <w:rsid w:val="00052508"/>
    <w:rsid w:val="00052591"/>
    <w:rsid w:val="000606AA"/>
    <w:rsid w:val="00060C99"/>
    <w:rsid w:val="000624F6"/>
    <w:rsid w:val="000631A3"/>
    <w:rsid w:val="000649AC"/>
    <w:rsid w:val="00070D51"/>
    <w:rsid w:val="00071FE3"/>
    <w:rsid w:val="0007238C"/>
    <w:rsid w:val="0007650E"/>
    <w:rsid w:val="000838F1"/>
    <w:rsid w:val="000927CC"/>
    <w:rsid w:val="00093385"/>
    <w:rsid w:val="0009369A"/>
    <w:rsid w:val="000A052F"/>
    <w:rsid w:val="000A0D11"/>
    <w:rsid w:val="000A3997"/>
    <w:rsid w:val="000B023C"/>
    <w:rsid w:val="000B592B"/>
    <w:rsid w:val="000C201D"/>
    <w:rsid w:val="000C5A22"/>
    <w:rsid w:val="000C5EF1"/>
    <w:rsid w:val="000C6402"/>
    <w:rsid w:val="000D0948"/>
    <w:rsid w:val="000D23DA"/>
    <w:rsid w:val="000D4495"/>
    <w:rsid w:val="000D53AD"/>
    <w:rsid w:val="000D673A"/>
    <w:rsid w:val="000E1F45"/>
    <w:rsid w:val="000E3B3C"/>
    <w:rsid w:val="000E3F07"/>
    <w:rsid w:val="000E5BE9"/>
    <w:rsid w:val="000E6F93"/>
    <w:rsid w:val="000F3EE4"/>
    <w:rsid w:val="000F5ADF"/>
    <w:rsid w:val="000F653B"/>
    <w:rsid w:val="0010143A"/>
    <w:rsid w:val="00105E52"/>
    <w:rsid w:val="001115F5"/>
    <w:rsid w:val="001118A9"/>
    <w:rsid w:val="001124FA"/>
    <w:rsid w:val="00113EF3"/>
    <w:rsid w:val="0011725B"/>
    <w:rsid w:val="00121EE3"/>
    <w:rsid w:val="001224FB"/>
    <w:rsid w:val="00122884"/>
    <w:rsid w:val="00125524"/>
    <w:rsid w:val="001268E0"/>
    <w:rsid w:val="00130B74"/>
    <w:rsid w:val="00135201"/>
    <w:rsid w:val="00137F6F"/>
    <w:rsid w:val="00140825"/>
    <w:rsid w:val="00143145"/>
    <w:rsid w:val="00144488"/>
    <w:rsid w:val="00145605"/>
    <w:rsid w:val="00151F8E"/>
    <w:rsid w:val="00167401"/>
    <w:rsid w:val="00172FC4"/>
    <w:rsid w:val="00183DEC"/>
    <w:rsid w:val="001851E7"/>
    <w:rsid w:val="0019164C"/>
    <w:rsid w:val="0019214F"/>
    <w:rsid w:val="0019218B"/>
    <w:rsid w:val="00192C5D"/>
    <w:rsid w:val="00196F30"/>
    <w:rsid w:val="001A2851"/>
    <w:rsid w:val="001A37BC"/>
    <w:rsid w:val="001A5127"/>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45D6"/>
    <w:rsid w:val="001E7C1E"/>
    <w:rsid w:val="001F4D6D"/>
    <w:rsid w:val="001F5A6D"/>
    <w:rsid w:val="001F5E12"/>
    <w:rsid w:val="00200780"/>
    <w:rsid w:val="00200C6B"/>
    <w:rsid w:val="00202FF0"/>
    <w:rsid w:val="00203094"/>
    <w:rsid w:val="002058A6"/>
    <w:rsid w:val="00206BC7"/>
    <w:rsid w:val="002107C9"/>
    <w:rsid w:val="00211441"/>
    <w:rsid w:val="00211DFD"/>
    <w:rsid w:val="00213AFB"/>
    <w:rsid w:val="00217186"/>
    <w:rsid w:val="002217E6"/>
    <w:rsid w:val="00222E1F"/>
    <w:rsid w:val="00223A39"/>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2F6B"/>
    <w:rsid w:val="002730F2"/>
    <w:rsid w:val="00273D6F"/>
    <w:rsid w:val="002751B8"/>
    <w:rsid w:val="002765F5"/>
    <w:rsid w:val="00280D5B"/>
    <w:rsid w:val="002820EF"/>
    <w:rsid w:val="00282E2D"/>
    <w:rsid w:val="00285BB6"/>
    <w:rsid w:val="002862E9"/>
    <w:rsid w:val="00287872"/>
    <w:rsid w:val="00287FF4"/>
    <w:rsid w:val="00291A30"/>
    <w:rsid w:val="00294E5B"/>
    <w:rsid w:val="00294FCA"/>
    <w:rsid w:val="002A15A7"/>
    <w:rsid w:val="002A19D6"/>
    <w:rsid w:val="002A1AE5"/>
    <w:rsid w:val="002A1D2E"/>
    <w:rsid w:val="002A3024"/>
    <w:rsid w:val="002A384D"/>
    <w:rsid w:val="002B24A8"/>
    <w:rsid w:val="002B2AD5"/>
    <w:rsid w:val="002B2C6E"/>
    <w:rsid w:val="002B5FDA"/>
    <w:rsid w:val="002B6C58"/>
    <w:rsid w:val="002B7C9A"/>
    <w:rsid w:val="002B7CB4"/>
    <w:rsid w:val="002C05E7"/>
    <w:rsid w:val="002C42B9"/>
    <w:rsid w:val="002C5F6F"/>
    <w:rsid w:val="002C62A2"/>
    <w:rsid w:val="002C7379"/>
    <w:rsid w:val="002D5CF9"/>
    <w:rsid w:val="002D60F7"/>
    <w:rsid w:val="002E106B"/>
    <w:rsid w:val="002E10FC"/>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2124D"/>
    <w:rsid w:val="003240A0"/>
    <w:rsid w:val="0032430C"/>
    <w:rsid w:val="00326BCC"/>
    <w:rsid w:val="00327D49"/>
    <w:rsid w:val="0033364D"/>
    <w:rsid w:val="00334C2D"/>
    <w:rsid w:val="00335177"/>
    <w:rsid w:val="00337673"/>
    <w:rsid w:val="003405AE"/>
    <w:rsid w:val="00346185"/>
    <w:rsid w:val="00357F4F"/>
    <w:rsid w:val="00357F70"/>
    <w:rsid w:val="00357FD7"/>
    <w:rsid w:val="00364EFB"/>
    <w:rsid w:val="003662A1"/>
    <w:rsid w:val="0036681B"/>
    <w:rsid w:val="003670AA"/>
    <w:rsid w:val="0036788F"/>
    <w:rsid w:val="003704CB"/>
    <w:rsid w:val="00371F94"/>
    <w:rsid w:val="00375948"/>
    <w:rsid w:val="00375EE6"/>
    <w:rsid w:val="00385063"/>
    <w:rsid w:val="00385626"/>
    <w:rsid w:val="00385ED5"/>
    <w:rsid w:val="003861CA"/>
    <w:rsid w:val="00386CF9"/>
    <w:rsid w:val="003903A2"/>
    <w:rsid w:val="003920E4"/>
    <w:rsid w:val="00394FDF"/>
    <w:rsid w:val="00395509"/>
    <w:rsid w:val="003A78AC"/>
    <w:rsid w:val="003B0B03"/>
    <w:rsid w:val="003B59AD"/>
    <w:rsid w:val="003B6438"/>
    <w:rsid w:val="003B7514"/>
    <w:rsid w:val="003C0B78"/>
    <w:rsid w:val="003C11E2"/>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295F"/>
    <w:rsid w:val="00434FB1"/>
    <w:rsid w:val="004354AE"/>
    <w:rsid w:val="004409E3"/>
    <w:rsid w:val="00440ECC"/>
    <w:rsid w:val="0044741D"/>
    <w:rsid w:val="004540F8"/>
    <w:rsid w:val="00454829"/>
    <w:rsid w:val="004574F6"/>
    <w:rsid w:val="0046119F"/>
    <w:rsid w:val="00463CE7"/>
    <w:rsid w:val="00464A20"/>
    <w:rsid w:val="00466D54"/>
    <w:rsid w:val="00466F18"/>
    <w:rsid w:val="0047449C"/>
    <w:rsid w:val="00475CEB"/>
    <w:rsid w:val="004804AE"/>
    <w:rsid w:val="00486A29"/>
    <w:rsid w:val="00490596"/>
    <w:rsid w:val="0049109D"/>
    <w:rsid w:val="0049230B"/>
    <w:rsid w:val="0049674D"/>
    <w:rsid w:val="004A077C"/>
    <w:rsid w:val="004A1E39"/>
    <w:rsid w:val="004A5198"/>
    <w:rsid w:val="004A5D19"/>
    <w:rsid w:val="004B6A6B"/>
    <w:rsid w:val="004C2074"/>
    <w:rsid w:val="004C25E2"/>
    <w:rsid w:val="004C3E19"/>
    <w:rsid w:val="004C4EB7"/>
    <w:rsid w:val="004C6FEC"/>
    <w:rsid w:val="004D0FF5"/>
    <w:rsid w:val="004D13A7"/>
    <w:rsid w:val="004D41E1"/>
    <w:rsid w:val="004D465E"/>
    <w:rsid w:val="004D4CA2"/>
    <w:rsid w:val="004E087B"/>
    <w:rsid w:val="004E2280"/>
    <w:rsid w:val="004E2762"/>
    <w:rsid w:val="004E4488"/>
    <w:rsid w:val="004E7399"/>
    <w:rsid w:val="004E7D96"/>
    <w:rsid w:val="004F1E84"/>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635C2"/>
    <w:rsid w:val="0056752F"/>
    <w:rsid w:val="00570B67"/>
    <w:rsid w:val="005711DA"/>
    <w:rsid w:val="00573C0E"/>
    <w:rsid w:val="005743D9"/>
    <w:rsid w:val="00574538"/>
    <w:rsid w:val="005760FE"/>
    <w:rsid w:val="00577C3B"/>
    <w:rsid w:val="00577E79"/>
    <w:rsid w:val="0058321E"/>
    <w:rsid w:val="00587D57"/>
    <w:rsid w:val="00587E22"/>
    <w:rsid w:val="005958A9"/>
    <w:rsid w:val="00596BF7"/>
    <w:rsid w:val="005A0D37"/>
    <w:rsid w:val="005A61CF"/>
    <w:rsid w:val="005A6F83"/>
    <w:rsid w:val="005B2240"/>
    <w:rsid w:val="005B4F21"/>
    <w:rsid w:val="005B5713"/>
    <w:rsid w:val="005C0E98"/>
    <w:rsid w:val="005C5F0B"/>
    <w:rsid w:val="005D0F16"/>
    <w:rsid w:val="005D23B7"/>
    <w:rsid w:val="005D5144"/>
    <w:rsid w:val="005D5C3C"/>
    <w:rsid w:val="005D5F82"/>
    <w:rsid w:val="005D771F"/>
    <w:rsid w:val="005D7C95"/>
    <w:rsid w:val="005E01A2"/>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105CA"/>
    <w:rsid w:val="00612F97"/>
    <w:rsid w:val="00613C23"/>
    <w:rsid w:val="0061627D"/>
    <w:rsid w:val="00616737"/>
    <w:rsid w:val="0062318B"/>
    <w:rsid w:val="00623CF5"/>
    <w:rsid w:val="0062706F"/>
    <w:rsid w:val="006313B7"/>
    <w:rsid w:val="006406D9"/>
    <w:rsid w:val="00640C1D"/>
    <w:rsid w:val="00641C94"/>
    <w:rsid w:val="0064229B"/>
    <w:rsid w:val="00644B0C"/>
    <w:rsid w:val="00644D53"/>
    <w:rsid w:val="00646441"/>
    <w:rsid w:val="006506A6"/>
    <w:rsid w:val="00651968"/>
    <w:rsid w:val="00655722"/>
    <w:rsid w:val="0065752F"/>
    <w:rsid w:val="006576F1"/>
    <w:rsid w:val="00660A99"/>
    <w:rsid w:val="00663BFF"/>
    <w:rsid w:val="00663E51"/>
    <w:rsid w:val="006642C8"/>
    <w:rsid w:val="006647C4"/>
    <w:rsid w:val="00676FE1"/>
    <w:rsid w:val="00681A78"/>
    <w:rsid w:val="0068527F"/>
    <w:rsid w:val="00693163"/>
    <w:rsid w:val="00695E6B"/>
    <w:rsid w:val="006A01D9"/>
    <w:rsid w:val="006A31B0"/>
    <w:rsid w:val="006A43A2"/>
    <w:rsid w:val="006A526A"/>
    <w:rsid w:val="006B01F9"/>
    <w:rsid w:val="006B4CC8"/>
    <w:rsid w:val="006B6B90"/>
    <w:rsid w:val="006B79E3"/>
    <w:rsid w:val="006C21B2"/>
    <w:rsid w:val="006C320F"/>
    <w:rsid w:val="006C3688"/>
    <w:rsid w:val="006D0501"/>
    <w:rsid w:val="006D15C9"/>
    <w:rsid w:val="006D5825"/>
    <w:rsid w:val="006D5F25"/>
    <w:rsid w:val="006D678E"/>
    <w:rsid w:val="006E1D9C"/>
    <w:rsid w:val="006E234E"/>
    <w:rsid w:val="006E3764"/>
    <w:rsid w:val="006E428F"/>
    <w:rsid w:val="006E46F4"/>
    <w:rsid w:val="006F190C"/>
    <w:rsid w:val="006F1E95"/>
    <w:rsid w:val="006F2852"/>
    <w:rsid w:val="006F630D"/>
    <w:rsid w:val="006F6FBB"/>
    <w:rsid w:val="006F7735"/>
    <w:rsid w:val="00700F9E"/>
    <w:rsid w:val="00704F12"/>
    <w:rsid w:val="00706D5B"/>
    <w:rsid w:val="00711F75"/>
    <w:rsid w:val="00712763"/>
    <w:rsid w:val="00716295"/>
    <w:rsid w:val="007207E3"/>
    <w:rsid w:val="00721512"/>
    <w:rsid w:val="0072351C"/>
    <w:rsid w:val="00723922"/>
    <w:rsid w:val="007250B6"/>
    <w:rsid w:val="0072577C"/>
    <w:rsid w:val="00731B4B"/>
    <w:rsid w:val="0074128E"/>
    <w:rsid w:val="007429C4"/>
    <w:rsid w:val="007448EB"/>
    <w:rsid w:val="00746F6C"/>
    <w:rsid w:val="00750A8E"/>
    <w:rsid w:val="00751E04"/>
    <w:rsid w:val="00754023"/>
    <w:rsid w:val="0076009C"/>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A6127"/>
    <w:rsid w:val="007A66DF"/>
    <w:rsid w:val="007B14D7"/>
    <w:rsid w:val="007B5C36"/>
    <w:rsid w:val="007C0774"/>
    <w:rsid w:val="007C23CE"/>
    <w:rsid w:val="007C4498"/>
    <w:rsid w:val="007C503F"/>
    <w:rsid w:val="007C53AB"/>
    <w:rsid w:val="007D664C"/>
    <w:rsid w:val="007E022C"/>
    <w:rsid w:val="007E545B"/>
    <w:rsid w:val="007F556D"/>
    <w:rsid w:val="007F5DD9"/>
    <w:rsid w:val="007F7713"/>
    <w:rsid w:val="0080560F"/>
    <w:rsid w:val="00806A6C"/>
    <w:rsid w:val="00810C27"/>
    <w:rsid w:val="00812BD8"/>
    <w:rsid w:val="00813CC0"/>
    <w:rsid w:val="00815C59"/>
    <w:rsid w:val="00816B2C"/>
    <w:rsid w:val="008206FA"/>
    <w:rsid w:val="00821422"/>
    <w:rsid w:val="008215BD"/>
    <w:rsid w:val="00821B53"/>
    <w:rsid w:val="00821D04"/>
    <w:rsid w:val="00834289"/>
    <w:rsid w:val="008377B6"/>
    <w:rsid w:val="00845107"/>
    <w:rsid w:val="008458AD"/>
    <w:rsid w:val="00845E3F"/>
    <w:rsid w:val="008519B8"/>
    <w:rsid w:val="00852191"/>
    <w:rsid w:val="00852515"/>
    <w:rsid w:val="0085413E"/>
    <w:rsid w:val="008542DC"/>
    <w:rsid w:val="008548DF"/>
    <w:rsid w:val="00855551"/>
    <w:rsid w:val="00856E44"/>
    <w:rsid w:val="008610EE"/>
    <w:rsid w:val="008636E5"/>
    <w:rsid w:val="00863B47"/>
    <w:rsid w:val="00865023"/>
    <w:rsid w:val="00865EA9"/>
    <w:rsid w:val="008721A6"/>
    <w:rsid w:val="00875081"/>
    <w:rsid w:val="008861F9"/>
    <w:rsid w:val="008901B2"/>
    <w:rsid w:val="0089068F"/>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3082"/>
    <w:rsid w:val="008D588A"/>
    <w:rsid w:val="008D7FC4"/>
    <w:rsid w:val="008E0153"/>
    <w:rsid w:val="008E5E13"/>
    <w:rsid w:val="008E60E6"/>
    <w:rsid w:val="008E7AB4"/>
    <w:rsid w:val="008F20B2"/>
    <w:rsid w:val="008F2FB8"/>
    <w:rsid w:val="008F4915"/>
    <w:rsid w:val="008F5482"/>
    <w:rsid w:val="008F6854"/>
    <w:rsid w:val="008F7AF1"/>
    <w:rsid w:val="00904DAE"/>
    <w:rsid w:val="00904DC1"/>
    <w:rsid w:val="00910EA2"/>
    <w:rsid w:val="00920FAB"/>
    <w:rsid w:val="009213F4"/>
    <w:rsid w:val="00922AE8"/>
    <w:rsid w:val="009234E9"/>
    <w:rsid w:val="00927015"/>
    <w:rsid w:val="009272AC"/>
    <w:rsid w:val="00927E48"/>
    <w:rsid w:val="00933CE9"/>
    <w:rsid w:val="00933E94"/>
    <w:rsid w:val="00934BCD"/>
    <w:rsid w:val="0094146F"/>
    <w:rsid w:val="009443A2"/>
    <w:rsid w:val="00946004"/>
    <w:rsid w:val="009520B3"/>
    <w:rsid w:val="00955CFA"/>
    <w:rsid w:val="00956298"/>
    <w:rsid w:val="00957ADA"/>
    <w:rsid w:val="00961584"/>
    <w:rsid w:val="00961D74"/>
    <w:rsid w:val="009625B2"/>
    <w:rsid w:val="009630D2"/>
    <w:rsid w:val="00963ACE"/>
    <w:rsid w:val="00964D9F"/>
    <w:rsid w:val="00965A2C"/>
    <w:rsid w:val="00971DA2"/>
    <w:rsid w:val="009733CF"/>
    <w:rsid w:val="0097450B"/>
    <w:rsid w:val="009771F8"/>
    <w:rsid w:val="00982FF2"/>
    <w:rsid w:val="009852E6"/>
    <w:rsid w:val="009853C1"/>
    <w:rsid w:val="009871C9"/>
    <w:rsid w:val="00993D32"/>
    <w:rsid w:val="00994267"/>
    <w:rsid w:val="0099714F"/>
    <w:rsid w:val="00997E70"/>
    <w:rsid w:val="009A0261"/>
    <w:rsid w:val="009A223A"/>
    <w:rsid w:val="009A29DE"/>
    <w:rsid w:val="009A36D0"/>
    <w:rsid w:val="009A4199"/>
    <w:rsid w:val="009A481E"/>
    <w:rsid w:val="009B4916"/>
    <w:rsid w:val="009B5DB6"/>
    <w:rsid w:val="009B5DEE"/>
    <w:rsid w:val="009C0518"/>
    <w:rsid w:val="009C3A95"/>
    <w:rsid w:val="009C3EB0"/>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305"/>
    <w:rsid w:val="00A468CC"/>
    <w:rsid w:val="00A46D69"/>
    <w:rsid w:val="00A503C0"/>
    <w:rsid w:val="00A6106F"/>
    <w:rsid w:val="00A64507"/>
    <w:rsid w:val="00A70DBD"/>
    <w:rsid w:val="00A7481D"/>
    <w:rsid w:val="00A76507"/>
    <w:rsid w:val="00A80A80"/>
    <w:rsid w:val="00A83ACE"/>
    <w:rsid w:val="00A87256"/>
    <w:rsid w:val="00A90DDA"/>
    <w:rsid w:val="00A9125F"/>
    <w:rsid w:val="00A917DE"/>
    <w:rsid w:val="00A92C22"/>
    <w:rsid w:val="00A93AE0"/>
    <w:rsid w:val="00A963CB"/>
    <w:rsid w:val="00A970A3"/>
    <w:rsid w:val="00AA18B7"/>
    <w:rsid w:val="00AA557C"/>
    <w:rsid w:val="00AA5D24"/>
    <w:rsid w:val="00AA6627"/>
    <w:rsid w:val="00AB224B"/>
    <w:rsid w:val="00AB4451"/>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F0F1F"/>
    <w:rsid w:val="00AF300D"/>
    <w:rsid w:val="00AF52F0"/>
    <w:rsid w:val="00AF558C"/>
    <w:rsid w:val="00AF7051"/>
    <w:rsid w:val="00B00F04"/>
    <w:rsid w:val="00B11712"/>
    <w:rsid w:val="00B12768"/>
    <w:rsid w:val="00B17972"/>
    <w:rsid w:val="00B21D37"/>
    <w:rsid w:val="00B2404B"/>
    <w:rsid w:val="00B24CD3"/>
    <w:rsid w:val="00B254A0"/>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80D"/>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6128"/>
    <w:rsid w:val="00BB7845"/>
    <w:rsid w:val="00BB7DF5"/>
    <w:rsid w:val="00BC23B4"/>
    <w:rsid w:val="00BC4166"/>
    <w:rsid w:val="00BC6106"/>
    <w:rsid w:val="00BD1458"/>
    <w:rsid w:val="00BD1983"/>
    <w:rsid w:val="00BD29AD"/>
    <w:rsid w:val="00BD31E9"/>
    <w:rsid w:val="00BD3CA0"/>
    <w:rsid w:val="00BD568C"/>
    <w:rsid w:val="00BD5BD5"/>
    <w:rsid w:val="00BE0706"/>
    <w:rsid w:val="00BE44C4"/>
    <w:rsid w:val="00BE48D7"/>
    <w:rsid w:val="00BE5136"/>
    <w:rsid w:val="00BE5E45"/>
    <w:rsid w:val="00BF2128"/>
    <w:rsid w:val="00BF53EC"/>
    <w:rsid w:val="00C002FC"/>
    <w:rsid w:val="00C03FA5"/>
    <w:rsid w:val="00C13196"/>
    <w:rsid w:val="00C1361B"/>
    <w:rsid w:val="00C15F7B"/>
    <w:rsid w:val="00C204A1"/>
    <w:rsid w:val="00C21171"/>
    <w:rsid w:val="00C2134B"/>
    <w:rsid w:val="00C21526"/>
    <w:rsid w:val="00C21EEA"/>
    <w:rsid w:val="00C26A20"/>
    <w:rsid w:val="00C26FEE"/>
    <w:rsid w:val="00C37EA2"/>
    <w:rsid w:val="00C4015D"/>
    <w:rsid w:val="00C44C4A"/>
    <w:rsid w:val="00C51D62"/>
    <w:rsid w:val="00C52231"/>
    <w:rsid w:val="00C55E3D"/>
    <w:rsid w:val="00C60C5C"/>
    <w:rsid w:val="00C63CED"/>
    <w:rsid w:val="00C67EE1"/>
    <w:rsid w:val="00C72BE5"/>
    <w:rsid w:val="00C73764"/>
    <w:rsid w:val="00C73850"/>
    <w:rsid w:val="00C75CF2"/>
    <w:rsid w:val="00C81B51"/>
    <w:rsid w:val="00C82336"/>
    <w:rsid w:val="00C8665D"/>
    <w:rsid w:val="00C867D4"/>
    <w:rsid w:val="00C95EAD"/>
    <w:rsid w:val="00C97951"/>
    <w:rsid w:val="00CA1750"/>
    <w:rsid w:val="00CA1B01"/>
    <w:rsid w:val="00CA5FB1"/>
    <w:rsid w:val="00CA62B8"/>
    <w:rsid w:val="00CA7E00"/>
    <w:rsid w:val="00CB0BAE"/>
    <w:rsid w:val="00CB305B"/>
    <w:rsid w:val="00CB640C"/>
    <w:rsid w:val="00CB7596"/>
    <w:rsid w:val="00CC0A57"/>
    <w:rsid w:val="00CC134C"/>
    <w:rsid w:val="00CC25E8"/>
    <w:rsid w:val="00CC3C0E"/>
    <w:rsid w:val="00CC4B75"/>
    <w:rsid w:val="00CC64A0"/>
    <w:rsid w:val="00CC6647"/>
    <w:rsid w:val="00CD09C7"/>
    <w:rsid w:val="00CD36D1"/>
    <w:rsid w:val="00CD3FCD"/>
    <w:rsid w:val="00CD7D00"/>
    <w:rsid w:val="00CE1613"/>
    <w:rsid w:val="00CE2A64"/>
    <w:rsid w:val="00CE5B86"/>
    <w:rsid w:val="00CE7C1B"/>
    <w:rsid w:val="00CF167D"/>
    <w:rsid w:val="00CF2BD7"/>
    <w:rsid w:val="00D02E73"/>
    <w:rsid w:val="00D054B6"/>
    <w:rsid w:val="00D110C3"/>
    <w:rsid w:val="00D17352"/>
    <w:rsid w:val="00D2455E"/>
    <w:rsid w:val="00D301E5"/>
    <w:rsid w:val="00D336D4"/>
    <w:rsid w:val="00D34294"/>
    <w:rsid w:val="00D37D7E"/>
    <w:rsid w:val="00D420E1"/>
    <w:rsid w:val="00D421C5"/>
    <w:rsid w:val="00D440BE"/>
    <w:rsid w:val="00D4568F"/>
    <w:rsid w:val="00D4650B"/>
    <w:rsid w:val="00D62F65"/>
    <w:rsid w:val="00D631CC"/>
    <w:rsid w:val="00D64268"/>
    <w:rsid w:val="00D6797F"/>
    <w:rsid w:val="00D7511D"/>
    <w:rsid w:val="00D770F2"/>
    <w:rsid w:val="00D77126"/>
    <w:rsid w:val="00D82A41"/>
    <w:rsid w:val="00D85023"/>
    <w:rsid w:val="00D8689F"/>
    <w:rsid w:val="00D86FF5"/>
    <w:rsid w:val="00D94434"/>
    <w:rsid w:val="00D9589A"/>
    <w:rsid w:val="00DA00BC"/>
    <w:rsid w:val="00DA048B"/>
    <w:rsid w:val="00DA187D"/>
    <w:rsid w:val="00DA2BEF"/>
    <w:rsid w:val="00DA3856"/>
    <w:rsid w:val="00DA3ECD"/>
    <w:rsid w:val="00DA5D5B"/>
    <w:rsid w:val="00DA6833"/>
    <w:rsid w:val="00DA7B3B"/>
    <w:rsid w:val="00DB12C5"/>
    <w:rsid w:val="00DB3100"/>
    <w:rsid w:val="00DB5983"/>
    <w:rsid w:val="00DB7B04"/>
    <w:rsid w:val="00DC6004"/>
    <w:rsid w:val="00DC76F9"/>
    <w:rsid w:val="00DD09C7"/>
    <w:rsid w:val="00DD5342"/>
    <w:rsid w:val="00DD538F"/>
    <w:rsid w:val="00DE1903"/>
    <w:rsid w:val="00DE29F2"/>
    <w:rsid w:val="00DE510F"/>
    <w:rsid w:val="00DF228A"/>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5E54"/>
    <w:rsid w:val="00E267BA"/>
    <w:rsid w:val="00E30CE5"/>
    <w:rsid w:val="00E3264E"/>
    <w:rsid w:val="00E3328C"/>
    <w:rsid w:val="00E3430B"/>
    <w:rsid w:val="00E3504C"/>
    <w:rsid w:val="00E353B8"/>
    <w:rsid w:val="00E365DF"/>
    <w:rsid w:val="00E36821"/>
    <w:rsid w:val="00E41825"/>
    <w:rsid w:val="00E447E4"/>
    <w:rsid w:val="00E53E96"/>
    <w:rsid w:val="00E55411"/>
    <w:rsid w:val="00E62AA2"/>
    <w:rsid w:val="00E638B3"/>
    <w:rsid w:val="00E652DA"/>
    <w:rsid w:val="00E6611E"/>
    <w:rsid w:val="00E673B7"/>
    <w:rsid w:val="00E72B3A"/>
    <w:rsid w:val="00E73125"/>
    <w:rsid w:val="00E732D8"/>
    <w:rsid w:val="00E7611D"/>
    <w:rsid w:val="00E77E0E"/>
    <w:rsid w:val="00E77E26"/>
    <w:rsid w:val="00E82F57"/>
    <w:rsid w:val="00E83C1A"/>
    <w:rsid w:val="00E8428A"/>
    <w:rsid w:val="00E85EB7"/>
    <w:rsid w:val="00E86FE7"/>
    <w:rsid w:val="00E91DDA"/>
    <w:rsid w:val="00E94786"/>
    <w:rsid w:val="00E95E26"/>
    <w:rsid w:val="00E97D8D"/>
    <w:rsid w:val="00EA3E7F"/>
    <w:rsid w:val="00EA4866"/>
    <w:rsid w:val="00EA6DC2"/>
    <w:rsid w:val="00EA6EDB"/>
    <w:rsid w:val="00EA70D8"/>
    <w:rsid w:val="00EB39BA"/>
    <w:rsid w:val="00EB7563"/>
    <w:rsid w:val="00EC6689"/>
    <w:rsid w:val="00ED1411"/>
    <w:rsid w:val="00ED1EF8"/>
    <w:rsid w:val="00ED3CA2"/>
    <w:rsid w:val="00ED434F"/>
    <w:rsid w:val="00ED5099"/>
    <w:rsid w:val="00ED78BC"/>
    <w:rsid w:val="00EE2023"/>
    <w:rsid w:val="00EE22EE"/>
    <w:rsid w:val="00EE7195"/>
    <w:rsid w:val="00EE743A"/>
    <w:rsid w:val="00EF2DE5"/>
    <w:rsid w:val="00EF3299"/>
    <w:rsid w:val="00EF3C11"/>
    <w:rsid w:val="00EF5985"/>
    <w:rsid w:val="00EF666C"/>
    <w:rsid w:val="00F008BD"/>
    <w:rsid w:val="00F05057"/>
    <w:rsid w:val="00F1149A"/>
    <w:rsid w:val="00F117D2"/>
    <w:rsid w:val="00F1374E"/>
    <w:rsid w:val="00F1765C"/>
    <w:rsid w:val="00F20440"/>
    <w:rsid w:val="00F21095"/>
    <w:rsid w:val="00F22DED"/>
    <w:rsid w:val="00F23097"/>
    <w:rsid w:val="00F2348F"/>
    <w:rsid w:val="00F25E47"/>
    <w:rsid w:val="00F32C3D"/>
    <w:rsid w:val="00F35297"/>
    <w:rsid w:val="00F416EC"/>
    <w:rsid w:val="00F42F75"/>
    <w:rsid w:val="00F438ED"/>
    <w:rsid w:val="00F4589F"/>
    <w:rsid w:val="00F5518D"/>
    <w:rsid w:val="00F569A0"/>
    <w:rsid w:val="00F56B76"/>
    <w:rsid w:val="00F56CCA"/>
    <w:rsid w:val="00F576D5"/>
    <w:rsid w:val="00F57C8B"/>
    <w:rsid w:val="00F60B20"/>
    <w:rsid w:val="00F63F32"/>
    <w:rsid w:val="00F63F47"/>
    <w:rsid w:val="00F6553A"/>
    <w:rsid w:val="00F70689"/>
    <w:rsid w:val="00F74D3D"/>
    <w:rsid w:val="00F80AA6"/>
    <w:rsid w:val="00F812DA"/>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AE3"/>
    <w:rsid w:val="00FE1DDB"/>
    <w:rsid w:val="00FE2BC9"/>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ECEB-D693-46C9-BCA2-7CAB671C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9039</TotalTime>
  <Pages>19</Pages>
  <Words>25075</Words>
  <Characters>14294</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532</cp:revision>
  <cp:lastPrinted>2017-01-31T08:50:00Z</cp:lastPrinted>
  <dcterms:created xsi:type="dcterms:W3CDTF">2013-02-28T09:44:00Z</dcterms:created>
  <dcterms:modified xsi:type="dcterms:W3CDTF">2017-08-14T12:41:00Z</dcterms:modified>
</cp:coreProperties>
</file>