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8D775D">
        <w:rPr>
          <w:rFonts w:ascii="Arial" w:hAnsi="Arial" w:cs="Arial"/>
          <w:color w:val="000000" w:themeColor="text1"/>
          <w:sz w:val="20"/>
          <w:szCs w:val="20"/>
        </w:rPr>
        <w:t>39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D775D">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8D775D">
        <w:rPr>
          <w:rFonts w:cs="Arial"/>
          <w:bCs/>
          <w:iCs/>
          <w:szCs w:val="20"/>
        </w:rPr>
        <w:t>Projekta „Jelgavas novada pašvaldības Valgundes pagasta ceļa „Induļi-Skaistlauki” pārbūve km 0,00-</w:t>
      </w:r>
      <w:r w:rsidR="000B3901">
        <w:rPr>
          <w:rFonts w:cs="Arial"/>
          <w:bCs/>
          <w:iCs/>
          <w:szCs w:val="20"/>
        </w:rPr>
        <w:t xml:space="preserve">km </w:t>
      </w:r>
      <w:r w:rsidR="008D775D">
        <w:rPr>
          <w:rFonts w:cs="Arial"/>
          <w:bCs/>
          <w:iCs/>
          <w:szCs w:val="20"/>
        </w:rPr>
        <w:t>1,140 būvprojekta izstrāde, būvniecība un autoruzraudzība</w:t>
      </w:r>
      <w:r w:rsidR="008D775D" w:rsidRPr="003903A2">
        <w:rPr>
          <w:rFonts w:cs="Arial"/>
          <w:bCs/>
          <w:iCs/>
          <w:szCs w:val="20"/>
        </w:rPr>
        <w:t>”</w:t>
      </w:r>
      <w:r w:rsidR="008D775D">
        <w:rPr>
          <w:rFonts w:cs="Arial"/>
          <w:bCs/>
          <w:iCs/>
          <w:szCs w:val="20"/>
        </w:rPr>
        <w:t xml:space="preserve">, </w:t>
      </w:r>
      <w:r w:rsidR="008D775D">
        <w:rPr>
          <w:rFonts w:cs="Arial"/>
          <w:szCs w:val="20"/>
        </w:rPr>
        <w:t>ID</w:t>
      </w:r>
      <w:r w:rsidR="008D775D" w:rsidRPr="00FB24E7">
        <w:rPr>
          <w:rFonts w:cs="Arial"/>
          <w:szCs w:val="20"/>
        </w:rPr>
        <w:t>. Nr</w:t>
      </w:r>
      <w:r w:rsidR="008D775D" w:rsidRPr="00783FD4">
        <w:rPr>
          <w:rFonts w:cs="Arial"/>
          <w:szCs w:val="20"/>
        </w:rPr>
        <w:t>. JNP 2015</w:t>
      </w:r>
      <w:r w:rsidR="008D775D">
        <w:rPr>
          <w:rFonts w:cs="Arial"/>
          <w:szCs w:val="20"/>
        </w:rPr>
        <w:t xml:space="preserve">/39 </w:t>
      </w:r>
      <w:r w:rsidRPr="008D775D">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8D775D">
        <w:rPr>
          <w:rFonts w:cs="Arial"/>
          <w:bCs/>
          <w:iCs/>
          <w:szCs w:val="20"/>
        </w:rPr>
        <w:t>Projekta „Jelgavas novada pašvaldības Valgundes pagasta ceļa „Induļi-Skaistlauki” pārbūve km 0,00-</w:t>
      </w:r>
      <w:r w:rsidR="000B3901">
        <w:rPr>
          <w:rFonts w:cs="Arial"/>
          <w:bCs/>
          <w:iCs/>
          <w:szCs w:val="20"/>
        </w:rPr>
        <w:t xml:space="preserve">km </w:t>
      </w:r>
      <w:r w:rsidR="008D775D">
        <w:rPr>
          <w:rFonts w:cs="Arial"/>
          <w:bCs/>
          <w:iCs/>
          <w:szCs w:val="20"/>
        </w:rPr>
        <w:t>1,140 būvprojekta izstrāde, būvniecība un autoruzraudzība</w:t>
      </w:r>
      <w:r w:rsidR="008D775D" w:rsidRPr="003903A2">
        <w:rPr>
          <w:rFonts w:cs="Arial"/>
          <w:bCs/>
          <w:iCs/>
          <w:szCs w:val="20"/>
        </w:rPr>
        <w:t>”</w:t>
      </w:r>
      <w:r w:rsidR="008D775D">
        <w:rPr>
          <w:rFonts w:cs="Arial"/>
          <w:bCs/>
          <w:iCs/>
          <w:szCs w:val="20"/>
        </w:rPr>
        <w:t xml:space="preserve">, </w:t>
      </w:r>
      <w:r w:rsidR="008D775D">
        <w:rPr>
          <w:rFonts w:cs="Arial"/>
          <w:szCs w:val="20"/>
        </w:rPr>
        <w:t>ID</w:t>
      </w:r>
      <w:r w:rsidR="008D775D" w:rsidRPr="00FB24E7">
        <w:rPr>
          <w:rFonts w:cs="Arial"/>
          <w:szCs w:val="20"/>
        </w:rPr>
        <w:t>. Nr</w:t>
      </w:r>
      <w:r w:rsidR="008D775D" w:rsidRPr="00783FD4">
        <w:rPr>
          <w:rFonts w:cs="Arial"/>
          <w:szCs w:val="20"/>
        </w:rPr>
        <w:t>. JNP 2015</w:t>
      </w:r>
      <w:r w:rsidR="008D775D">
        <w:rPr>
          <w:rFonts w:cs="Arial"/>
          <w:szCs w:val="20"/>
        </w:rPr>
        <w:t xml:space="preserve">/39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6A4292">
        <w:rPr>
          <w:rFonts w:ascii="Arial" w:hAnsi="Arial" w:cs="Arial"/>
          <w:color w:val="000000" w:themeColor="text1"/>
          <w:sz w:val="20"/>
          <w:szCs w:val="20"/>
        </w:rPr>
        <w:t>39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6A4292" w:rsidRPr="000B3901" w:rsidRDefault="008F4915" w:rsidP="008F4915">
      <w:pPr>
        <w:spacing w:after="120"/>
        <w:jc w:val="center"/>
        <w:rPr>
          <w:rFonts w:ascii="Arial" w:hAnsi="Arial" w:cs="Arial"/>
          <w:b/>
          <w:bCs/>
          <w:iCs/>
          <w:sz w:val="20"/>
          <w:szCs w:val="20"/>
        </w:rPr>
      </w:pPr>
      <w:r w:rsidRPr="000B3901">
        <w:rPr>
          <w:rFonts w:ascii="Arial" w:hAnsi="Arial" w:cs="Arial"/>
          <w:b/>
          <w:i/>
          <w:sz w:val="20"/>
          <w:szCs w:val="20"/>
        </w:rPr>
        <w:t xml:space="preserve"> </w:t>
      </w:r>
      <w:r w:rsidR="00CE5B86" w:rsidRPr="000B3901">
        <w:rPr>
          <w:rFonts w:ascii="Arial" w:hAnsi="Arial" w:cs="Arial"/>
          <w:b/>
          <w:bCs/>
          <w:sz w:val="20"/>
          <w:szCs w:val="20"/>
        </w:rPr>
        <w:t>atklātam konkursam „</w:t>
      </w:r>
      <w:r w:rsidR="006A4292" w:rsidRPr="000B3901">
        <w:rPr>
          <w:rFonts w:ascii="Arial" w:hAnsi="Arial" w:cs="Arial"/>
          <w:b/>
          <w:bCs/>
          <w:iCs/>
          <w:sz w:val="20"/>
          <w:szCs w:val="20"/>
        </w:rPr>
        <w:t>Projekta „Jelgavas novada pašvaldības Valgundes pagasta ceļa „Induļi-Skaistlauki” pārbūve km 0,00-</w:t>
      </w:r>
      <w:r w:rsidR="000B3901" w:rsidRPr="000B3901">
        <w:rPr>
          <w:rFonts w:ascii="Arial" w:hAnsi="Arial" w:cs="Arial"/>
          <w:b/>
          <w:bCs/>
          <w:iCs/>
          <w:sz w:val="20"/>
          <w:szCs w:val="20"/>
        </w:rPr>
        <w:t xml:space="preserve">km </w:t>
      </w:r>
      <w:r w:rsidR="006A4292" w:rsidRPr="000B3901">
        <w:rPr>
          <w:rFonts w:ascii="Arial" w:hAnsi="Arial" w:cs="Arial"/>
          <w:b/>
          <w:bCs/>
          <w:iCs/>
          <w:sz w:val="20"/>
          <w:szCs w:val="20"/>
        </w:rPr>
        <w:t>1,140 būvprojekta izstrāde, būvniecība un autoruzraudzība”</w:t>
      </w:r>
    </w:p>
    <w:p w:rsidR="008F4915" w:rsidRPr="000B3901" w:rsidRDefault="006A4292" w:rsidP="008F4915">
      <w:pPr>
        <w:spacing w:after="120"/>
        <w:jc w:val="center"/>
        <w:rPr>
          <w:rFonts w:ascii="Arial" w:hAnsi="Arial" w:cs="Arial"/>
          <w:b/>
          <w:sz w:val="20"/>
          <w:szCs w:val="20"/>
        </w:rPr>
      </w:pPr>
      <w:r w:rsidRPr="000B3901">
        <w:rPr>
          <w:rFonts w:ascii="Arial" w:hAnsi="Arial" w:cs="Arial"/>
          <w:b/>
          <w:bCs/>
          <w:iCs/>
          <w:sz w:val="20"/>
          <w:szCs w:val="20"/>
        </w:rPr>
        <w:t xml:space="preserve"> </w:t>
      </w:r>
      <w:r w:rsidRPr="000B3901">
        <w:rPr>
          <w:rFonts w:ascii="Arial" w:hAnsi="Arial" w:cs="Arial"/>
          <w:b/>
          <w:sz w:val="20"/>
          <w:szCs w:val="20"/>
        </w:rPr>
        <w:t xml:space="preserve">ID. Nr. JNP 2015/39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870882">
        <w:rPr>
          <w:rFonts w:ascii="Arial" w:hAnsi="Arial" w:cs="Arial"/>
          <w:bCs/>
          <w:color w:val="000000" w:themeColor="text1"/>
          <w:sz w:val="20"/>
          <w:szCs w:val="20"/>
        </w:rPr>
        <w:t>39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870882" w:rsidRPr="000B3901" w:rsidRDefault="00870882" w:rsidP="00870882">
      <w:pPr>
        <w:spacing w:after="120"/>
        <w:jc w:val="center"/>
        <w:rPr>
          <w:rFonts w:ascii="Arial" w:hAnsi="Arial" w:cs="Arial"/>
          <w:b/>
          <w:bCs/>
          <w:iCs/>
          <w:sz w:val="20"/>
          <w:szCs w:val="20"/>
        </w:rPr>
      </w:pPr>
      <w:r w:rsidRPr="000B3901">
        <w:rPr>
          <w:rFonts w:ascii="Arial" w:hAnsi="Arial" w:cs="Arial"/>
          <w:b/>
          <w:i/>
          <w:sz w:val="20"/>
          <w:szCs w:val="20"/>
        </w:rPr>
        <w:t xml:space="preserve"> </w:t>
      </w:r>
      <w:r w:rsidRPr="000B3901">
        <w:rPr>
          <w:rFonts w:ascii="Arial" w:hAnsi="Arial" w:cs="Arial"/>
          <w:b/>
          <w:bCs/>
          <w:sz w:val="20"/>
          <w:szCs w:val="20"/>
        </w:rPr>
        <w:t>atklātam konkursam „</w:t>
      </w:r>
      <w:r w:rsidRPr="000B3901">
        <w:rPr>
          <w:rFonts w:ascii="Arial" w:hAnsi="Arial" w:cs="Arial"/>
          <w:b/>
          <w:bCs/>
          <w:iCs/>
          <w:sz w:val="20"/>
          <w:szCs w:val="20"/>
        </w:rPr>
        <w:t>Projekta „Jelgavas novada pašvaldības Valgundes pagasta ceļa „Induļi-Skaistlauki” pārbūve km 0,00-</w:t>
      </w:r>
      <w:r w:rsidR="000B3901">
        <w:rPr>
          <w:rFonts w:ascii="Arial" w:hAnsi="Arial" w:cs="Arial"/>
          <w:b/>
          <w:bCs/>
          <w:iCs/>
          <w:sz w:val="20"/>
          <w:szCs w:val="20"/>
        </w:rPr>
        <w:t xml:space="preserve">km </w:t>
      </w:r>
      <w:r w:rsidRPr="000B3901">
        <w:rPr>
          <w:rFonts w:ascii="Arial" w:hAnsi="Arial" w:cs="Arial"/>
          <w:b/>
          <w:bCs/>
          <w:iCs/>
          <w:sz w:val="20"/>
          <w:szCs w:val="20"/>
        </w:rPr>
        <w:t>1,140 būvprojekta izstrāde, būvniecība un autoruzraudzība”</w:t>
      </w:r>
    </w:p>
    <w:p w:rsidR="00870882" w:rsidRPr="000B3901" w:rsidRDefault="00870882" w:rsidP="00870882">
      <w:pPr>
        <w:spacing w:after="120"/>
        <w:jc w:val="center"/>
        <w:rPr>
          <w:rFonts w:ascii="Arial" w:hAnsi="Arial" w:cs="Arial"/>
          <w:b/>
          <w:sz w:val="20"/>
          <w:szCs w:val="20"/>
        </w:rPr>
      </w:pPr>
      <w:r w:rsidRPr="000B3901">
        <w:rPr>
          <w:rFonts w:ascii="Arial" w:hAnsi="Arial" w:cs="Arial"/>
          <w:b/>
          <w:bCs/>
          <w:iCs/>
          <w:sz w:val="20"/>
          <w:szCs w:val="20"/>
        </w:rPr>
        <w:t xml:space="preserve"> </w:t>
      </w:r>
      <w:r w:rsidRPr="000B3901">
        <w:rPr>
          <w:rFonts w:ascii="Arial" w:hAnsi="Arial" w:cs="Arial"/>
          <w:b/>
          <w:sz w:val="20"/>
          <w:szCs w:val="20"/>
        </w:rPr>
        <w:t xml:space="preserve">ID. Nr. JNP 2015/39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5711DA" w:rsidRPr="00870882">
        <w:rPr>
          <w:rFonts w:ascii="Arial" w:hAnsi="Arial" w:cs="Arial"/>
          <w:b/>
          <w:bCs/>
          <w:sz w:val="20"/>
          <w:szCs w:val="20"/>
        </w:rPr>
        <w:t>„</w:t>
      </w:r>
      <w:r w:rsidR="00870882" w:rsidRPr="00870882">
        <w:rPr>
          <w:rFonts w:ascii="Arial" w:hAnsi="Arial" w:cs="Arial"/>
          <w:bCs/>
          <w:iCs/>
          <w:sz w:val="20"/>
          <w:szCs w:val="20"/>
        </w:rPr>
        <w:t>Projekta „Jelgavas novada pašvaldības Valgundes pagasta ceļa „Induļi-Skaistlauki” pārbūve km 0,00-</w:t>
      </w:r>
      <w:r w:rsidR="000B3901">
        <w:rPr>
          <w:rFonts w:ascii="Arial" w:hAnsi="Arial" w:cs="Arial"/>
          <w:bCs/>
          <w:iCs/>
          <w:sz w:val="20"/>
          <w:szCs w:val="20"/>
        </w:rPr>
        <w:t xml:space="preserve">km </w:t>
      </w:r>
      <w:r w:rsidR="00870882" w:rsidRPr="00870882">
        <w:rPr>
          <w:rFonts w:ascii="Arial" w:hAnsi="Arial" w:cs="Arial"/>
          <w:bCs/>
          <w:iCs/>
          <w:sz w:val="20"/>
          <w:szCs w:val="20"/>
        </w:rPr>
        <w:t>1,140 būvprojekta izstrāde, būvniecība un autoruzraudzība</w:t>
      </w:r>
      <w:r w:rsidR="00870882" w:rsidRPr="006A4292">
        <w:rPr>
          <w:rFonts w:cs="Arial"/>
          <w:b/>
          <w:bCs/>
          <w:iCs/>
          <w:szCs w:val="20"/>
        </w:rPr>
        <w:t>”</w:t>
      </w:r>
      <w:r w:rsidR="00870882">
        <w:rPr>
          <w:rFonts w:cs="Arial"/>
          <w:b/>
          <w:bCs/>
          <w:iCs/>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167401">
        <w:rPr>
          <w:rFonts w:ascii="Arial" w:hAnsi="Arial" w:cs="Arial"/>
          <w:bCs/>
          <w:color w:val="000000" w:themeColor="text1"/>
          <w:sz w:val="20"/>
          <w:szCs w:val="20"/>
        </w:rPr>
        <w:t>. JNP 2015/3</w:t>
      </w:r>
      <w:r w:rsidR="006B302B">
        <w:rPr>
          <w:rFonts w:ascii="Arial" w:hAnsi="Arial" w:cs="Arial"/>
          <w:bCs/>
          <w:color w:val="000000" w:themeColor="text1"/>
          <w:sz w:val="20"/>
          <w:szCs w:val="20"/>
        </w:rPr>
        <w:t>9</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167401">
        <w:rPr>
          <w:rFonts w:ascii="Arial" w:hAnsi="Arial" w:cs="Arial"/>
          <w:color w:val="000000"/>
          <w:sz w:val="20"/>
          <w:szCs w:val="20"/>
          <w:lang w:eastAsia="ar-SA"/>
        </w:rPr>
        <w:t>JNP 2015/3</w:t>
      </w:r>
      <w:r w:rsidR="006B302B">
        <w:rPr>
          <w:rFonts w:ascii="Arial" w:hAnsi="Arial" w:cs="Arial"/>
          <w:color w:val="000000"/>
          <w:sz w:val="20"/>
          <w:szCs w:val="20"/>
          <w:lang w:eastAsia="ar-SA"/>
        </w:rPr>
        <w:t>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24CD3">
        <w:rPr>
          <w:rFonts w:ascii="Arial" w:hAnsi="Arial" w:cs="Arial"/>
          <w:bCs/>
          <w:color w:val="000000" w:themeColor="text1"/>
          <w:sz w:val="20"/>
          <w:szCs w:val="20"/>
        </w:rPr>
        <w:t xml:space="preserve"> JNP 2015/3</w:t>
      </w:r>
      <w:r w:rsidR="006B302B">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6B302B" w:rsidRPr="000B3901" w:rsidRDefault="006B302B" w:rsidP="006B302B">
      <w:pPr>
        <w:spacing w:after="120"/>
        <w:jc w:val="center"/>
        <w:rPr>
          <w:rFonts w:ascii="Arial" w:hAnsi="Arial" w:cs="Arial"/>
          <w:b/>
          <w:bCs/>
          <w:iCs/>
          <w:sz w:val="20"/>
          <w:szCs w:val="20"/>
        </w:rPr>
      </w:pPr>
      <w:r w:rsidRPr="000B3901">
        <w:rPr>
          <w:rFonts w:ascii="Arial" w:hAnsi="Arial" w:cs="Arial"/>
          <w:b/>
          <w:i/>
          <w:sz w:val="20"/>
          <w:szCs w:val="20"/>
        </w:rPr>
        <w:t xml:space="preserve"> </w:t>
      </w:r>
      <w:r w:rsidRPr="000B3901">
        <w:rPr>
          <w:rFonts w:ascii="Arial" w:hAnsi="Arial" w:cs="Arial"/>
          <w:b/>
          <w:bCs/>
          <w:sz w:val="20"/>
          <w:szCs w:val="20"/>
        </w:rPr>
        <w:t>atklātam konkursam „</w:t>
      </w:r>
      <w:r w:rsidRPr="000B3901">
        <w:rPr>
          <w:rFonts w:ascii="Arial" w:hAnsi="Arial" w:cs="Arial"/>
          <w:b/>
          <w:bCs/>
          <w:iCs/>
          <w:sz w:val="20"/>
          <w:szCs w:val="20"/>
        </w:rPr>
        <w:t>Projekta „Jelgavas novada pašvaldības Valgundes pagasta ceļa „Induļi-Skaistlauki” pārbūve km 0,00-</w:t>
      </w:r>
      <w:r w:rsidR="000B3901">
        <w:rPr>
          <w:rFonts w:ascii="Arial" w:hAnsi="Arial" w:cs="Arial"/>
          <w:b/>
          <w:bCs/>
          <w:iCs/>
          <w:sz w:val="20"/>
          <w:szCs w:val="20"/>
        </w:rPr>
        <w:t xml:space="preserve">km </w:t>
      </w:r>
      <w:r w:rsidRPr="000B3901">
        <w:rPr>
          <w:rFonts w:ascii="Arial" w:hAnsi="Arial" w:cs="Arial"/>
          <w:b/>
          <w:bCs/>
          <w:iCs/>
          <w:sz w:val="20"/>
          <w:szCs w:val="20"/>
        </w:rPr>
        <w:t>1,140 būvprojekta izstrāde, būvniecība un autoruzraudzība”</w:t>
      </w:r>
    </w:p>
    <w:p w:rsidR="006B302B" w:rsidRPr="000B3901" w:rsidRDefault="006B302B" w:rsidP="006B302B">
      <w:pPr>
        <w:spacing w:after="120"/>
        <w:jc w:val="center"/>
        <w:rPr>
          <w:rFonts w:ascii="Arial" w:hAnsi="Arial" w:cs="Arial"/>
          <w:b/>
          <w:sz w:val="20"/>
          <w:szCs w:val="20"/>
        </w:rPr>
      </w:pPr>
      <w:r w:rsidRPr="000B3901">
        <w:rPr>
          <w:rFonts w:ascii="Arial" w:hAnsi="Arial" w:cs="Arial"/>
          <w:b/>
          <w:bCs/>
          <w:iCs/>
          <w:sz w:val="20"/>
          <w:szCs w:val="20"/>
        </w:rPr>
        <w:t xml:space="preserve"> </w:t>
      </w:r>
      <w:r w:rsidRPr="000B3901">
        <w:rPr>
          <w:rFonts w:ascii="Arial" w:hAnsi="Arial" w:cs="Arial"/>
          <w:b/>
          <w:sz w:val="20"/>
          <w:szCs w:val="20"/>
        </w:rPr>
        <w:t xml:space="preserve">ID. Nr. JNP 2015/39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24CD3">
        <w:rPr>
          <w:rFonts w:ascii="Arial" w:hAnsi="Arial" w:cs="Arial"/>
          <w:bCs/>
          <w:color w:val="000000" w:themeColor="text1"/>
          <w:sz w:val="20"/>
          <w:szCs w:val="20"/>
        </w:rPr>
        <w:t>. JNP 2015/3</w:t>
      </w:r>
      <w:r w:rsidR="006B302B">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113E04" w:rsidRDefault="00BC4166" w:rsidP="00BC4166">
      <w:pPr>
        <w:pStyle w:val="Apakpunkts"/>
        <w:numPr>
          <w:ilvl w:val="0"/>
          <w:numId w:val="0"/>
        </w:numPr>
        <w:shd w:val="clear" w:color="auto" w:fill="FFFFFF"/>
        <w:rPr>
          <w:rFonts w:cs="Arial"/>
          <w:szCs w:val="20"/>
        </w:rPr>
      </w:pPr>
    </w:p>
    <w:p w:rsidR="006B302B" w:rsidRPr="00113E04" w:rsidRDefault="006B302B" w:rsidP="006B302B">
      <w:pPr>
        <w:spacing w:after="120"/>
        <w:jc w:val="center"/>
        <w:rPr>
          <w:rFonts w:ascii="Arial" w:hAnsi="Arial" w:cs="Arial"/>
          <w:b/>
          <w:bCs/>
          <w:iCs/>
          <w:sz w:val="20"/>
          <w:szCs w:val="20"/>
        </w:rPr>
      </w:pPr>
      <w:r w:rsidRPr="00113E04">
        <w:rPr>
          <w:rFonts w:ascii="Arial" w:hAnsi="Arial" w:cs="Arial"/>
          <w:b/>
          <w:bCs/>
          <w:sz w:val="20"/>
          <w:szCs w:val="20"/>
        </w:rPr>
        <w:t>atklātam konkursam „</w:t>
      </w:r>
      <w:r w:rsidRPr="00113E04">
        <w:rPr>
          <w:rFonts w:ascii="Arial" w:hAnsi="Arial" w:cs="Arial"/>
          <w:b/>
          <w:bCs/>
          <w:iCs/>
          <w:sz w:val="20"/>
          <w:szCs w:val="20"/>
        </w:rPr>
        <w:t>Projekta „Jelgavas novada pašvaldības Valgundes pagasta ceļa „Induļi-Skaistlauki” pārbūve km 0,00-</w:t>
      </w:r>
      <w:r w:rsidR="00113E04">
        <w:rPr>
          <w:rFonts w:ascii="Arial" w:hAnsi="Arial" w:cs="Arial"/>
          <w:b/>
          <w:bCs/>
          <w:iCs/>
          <w:sz w:val="20"/>
          <w:szCs w:val="20"/>
        </w:rPr>
        <w:t xml:space="preserve">km </w:t>
      </w:r>
      <w:r w:rsidRPr="00113E04">
        <w:rPr>
          <w:rFonts w:ascii="Arial" w:hAnsi="Arial" w:cs="Arial"/>
          <w:b/>
          <w:bCs/>
          <w:iCs/>
          <w:sz w:val="20"/>
          <w:szCs w:val="20"/>
        </w:rPr>
        <w:t>1,140 būvprojekta izstrāde, būvniecība un autoruzraudzība”</w:t>
      </w:r>
    </w:p>
    <w:p w:rsidR="006B302B" w:rsidRPr="00113E04" w:rsidRDefault="006B302B" w:rsidP="006B302B">
      <w:pPr>
        <w:spacing w:after="120"/>
        <w:jc w:val="center"/>
        <w:rPr>
          <w:rFonts w:ascii="Arial" w:hAnsi="Arial" w:cs="Arial"/>
          <w:b/>
          <w:sz w:val="20"/>
          <w:szCs w:val="20"/>
        </w:rPr>
      </w:pPr>
      <w:r w:rsidRPr="00113E04">
        <w:rPr>
          <w:rFonts w:ascii="Arial" w:hAnsi="Arial" w:cs="Arial"/>
          <w:b/>
          <w:bCs/>
          <w:iCs/>
          <w:sz w:val="20"/>
          <w:szCs w:val="20"/>
        </w:rPr>
        <w:t xml:space="preserve"> </w:t>
      </w:r>
      <w:r w:rsidRPr="00113E04">
        <w:rPr>
          <w:rFonts w:ascii="Arial" w:hAnsi="Arial" w:cs="Arial"/>
          <w:b/>
          <w:sz w:val="20"/>
          <w:szCs w:val="20"/>
        </w:rPr>
        <w:t xml:space="preserve">ID. Nr. JNP 2015/39 </w:t>
      </w:r>
    </w:p>
    <w:p w:rsidR="00BC4166" w:rsidRPr="00113E04"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D3958" w:rsidRDefault="00BC4166" w:rsidP="00B24CD3">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6B302B" w:rsidRPr="003D3958">
        <w:rPr>
          <w:rFonts w:ascii="Arial" w:hAnsi="Arial" w:cs="Arial"/>
          <w:bCs/>
          <w:sz w:val="20"/>
          <w:szCs w:val="20"/>
        </w:rPr>
        <w:t xml:space="preserve"> „</w:t>
      </w:r>
      <w:r w:rsidR="006B302B" w:rsidRPr="003D3958">
        <w:rPr>
          <w:rFonts w:ascii="Arial" w:hAnsi="Arial" w:cs="Arial"/>
          <w:bCs/>
          <w:iCs/>
          <w:sz w:val="20"/>
          <w:szCs w:val="20"/>
        </w:rPr>
        <w:t>Projekta „Jelgavas novada pašvaldības Valgundes pagasta ceļa „Induļi-Skaistlauki” pārbūve km 0,00-1,140 būvprojekta izstrāde, būvniecība un autoruzraudzība</w:t>
      </w:r>
      <w:r w:rsidR="006B302B" w:rsidRPr="003D3958">
        <w:rPr>
          <w:rFonts w:ascii="Arial" w:hAnsi="Arial" w:cs="Arial"/>
          <w:b/>
          <w:bCs/>
          <w:iCs/>
          <w:sz w:val="20"/>
          <w:szCs w:val="20"/>
        </w:rPr>
        <w:t xml:space="preserve">”, </w:t>
      </w:r>
      <w:r w:rsidRPr="003D3958">
        <w:rPr>
          <w:rFonts w:ascii="Arial" w:hAnsi="Arial" w:cs="Arial"/>
          <w:sz w:val="20"/>
          <w:szCs w:val="20"/>
        </w:rPr>
        <w:t>(ID Nr.</w:t>
      </w:r>
      <w:r w:rsidR="00B24CD3" w:rsidRPr="003D3958">
        <w:rPr>
          <w:rFonts w:ascii="Arial" w:hAnsi="Arial" w:cs="Arial"/>
          <w:sz w:val="20"/>
          <w:szCs w:val="20"/>
        </w:rPr>
        <w:t xml:space="preserve"> JNP 2015/3</w:t>
      </w:r>
      <w:r w:rsidR="006B302B" w:rsidRPr="003D3958">
        <w:rPr>
          <w:rFonts w:ascii="Arial" w:hAnsi="Arial" w:cs="Arial"/>
          <w:sz w:val="20"/>
          <w:szCs w:val="20"/>
        </w:rPr>
        <w:t>9</w:t>
      </w:r>
      <w:r w:rsidRPr="003D3958">
        <w:rPr>
          <w:rFonts w:ascii="Arial" w:hAnsi="Arial" w:cs="Arial"/>
          <w:sz w:val="20"/>
          <w:szCs w:val="20"/>
        </w:rPr>
        <w:t xml:space="preserve">) 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72FC4">
        <w:rPr>
          <w:rFonts w:ascii="Arial" w:hAnsi="Arial" w:cs="Arial"/>
          <w:b/>
          <w:bCs/>
          <w:color w:val="000000" w:themeColor="text1"/>
          <w:sz w:val="20"/>
          <w:szCs w:val="20"/>
        </w:rPr>
        <w:t>JNP 2015/3</w:t>
      </w:r>
      <w:r w:rsidR="00B34E15">
        <w:rPr>
          <w:rFonts w:ascii="Arial" w:hAnsi="Arial" w:cs="Arial"/>
          <w:b/>
          <w:bCs/>
          <w:color w:val="000000" w:themeColor="text1"/>
          <w:sz w:val="20"/>
          <w:szCs w:val="20"/>
        </w:rPr>
        <w:t>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0C0FB1" w:rsidRPr="00113E04" w:rsidRDefault="000C0FB1" w:rsidP="000C0FB1">
      <w:pPr>
        <w:spacing w:after="120"/>
        <w:jc w:val="center"/>
        <w:rPr>
          <w:rFonts w:ascii="Arial" w:hAnsi="Arial" w:cs="Arial"/>
          <w:b/>
          <w:bCs/>
          <w:iCs/>
          <w:sz w:val="20"/>
          <w:szCs w:val="20"/>
        </w:rPr>
      </w:pPr>
      <w:r w:rsidRPr="00113E04">
        <w:rPr>
          <w:rFonts w:ascii="Arial" w:hAnsi="Arial" w:cs="Arial"/>
          <w:b/>
          <w:bCs/>
          <w:sz w:val="20"/>
          <w:szCs w:val="20"/>
        </w:rPr>
        <w:t>atklātam konkursam „</w:t>
      </w:r>
      <w:r w:rsidRPr="00113E04">
        <w:rPr>
          <w:rFonts w:ascii="Arial" w:hAnsi="Arial" w:cs="Arial"/>
          <w:b/>
          <w:bCs/>
          <w:iCs/>
          <w:sz w:val="20"/>
          <w:szCs w:val="20"/>
        </w:rPr>
        <w:t>Projekta „Jelgavas novada pašvaldības Valgundes pagasta ceļa „Induļi-Skaistlauki” pārbūve km 0,00-</w:t>
      </w:r>
      <w:r w:rsidR="00113E04">
        <w:rPr>
          <w:rFonts w:ascii="Arial" w:hAnsi="Arial" w:cs="Arial"/>
          <w:b/>
          <w:bCs/>
          <w:iCs/>
          <w:sz w:val="20"/>
          <w:szCs w:val="20"/>
        </w:rPr>
        <w:t xml:space="preserve">km </w:t>
      </w:r>
      <w:r w:rsidRPr="00113E04">
        <w:rPr>
          <w:rFonts w:ascii="Arial" w:hAnsi="Arial" w:cs="Arial"/>
          <w:b/>
          <w:bCs/>
          <w:iCs/>
          <w:sz w:val="20"/>
          <w:szCs w:val="20"/>
        </w:rPr>
        <w:t>1,140 būvprojekta izstrāde, būvniecība un autoruzraudzība”</w:t>
      </w:r>
    </w:p>
    <w:p w:rsidR="000C0FB1" w:rsidRPr="00113E04" w:rsidRDefault="000C0FB1" w:rsidP="000C0FB1">
      <w:pPr>
        <w:spacing w:after="120"/>
        <w:jc w:val="center"/>
        <w:rPr>
          <w:rFonts w:ascii="Arial" w:hAnsi="Arial" w:cs="Arial"/>
          <w:b/>
          <w:sz w:val="20"/>
          <w:szCs w:val="20"/>
        </w:rPr>
      </w:pPr>
      <w:r w:rsidRPr="00113E04">
        <w:rPr>
          <w:rFonts w:ascii="Arial" w:hAnsi="Arial" w:cs="Arial"/>
          <w:b/>
          <w:bCs/>
          <w:iCs/>
          <w:sz w:val="20"/>
          <w:szCs w:val="20"/>
        </w:rPr>
        <w:t xml:space="preserve"> </w:t>
      </w:r>
      <w:r w:rsidRPr="00113E04">
        <w:rPr>
          <w:rFonts w:ascii="Arial" w:hAnsi="Arial" w:cs="Arial"/>
          <w:b/>
          <w:sz w:val="20"/>
          <w:szCs w:val="20"/>
        </w:rPr>
        <w:t xml:space="preserve">ID. Nr. JNP 2015/39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FD371A">
        <w:rPr>
          <w:rFonts w:ascii="Arial" w:hAnsi="Arial" w:cs="Arial"/>
          <w:bCs/>
          <w:color w:val="000000" w:themeColor="text1"/>
          <w:sz w:val="20"/>
          <w:szCs w:val="20"/>
        </w:rPr>
        <w:t xml:space="preserve"> 2015/3</w:t>
      </w:r>
      <w:r w:rsidR="00B34E15">
        <w:rPr>
          <w:rFonts w:ascii="Arial" w:hAnsi="Arial" w:cs="Arial"/>
          <w:bCs/>
          <w:color w:val="000000" w:themeColor="text1"/>
          <w:sz w:val="20"/>
          <w:szCs w:val="20"/>
        </w:rPr>
        <w:t>9</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813CC0" w:rsidRDefault="00C03FA5" w:rsidP="00704F12">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FD371A">
        <w:rPr>
          <w:rFonts w:ascii="Arial" w:hAnsi="Arial" w:cs="Arial"/>
          <w:bCs/>
          <w:color w:val="000000" w:themeColor="text1"/>
          <w:sz w:val="20"/>
          <w:szCs w:val="20"/>
        </w:rPr>
        <w:t>3</w:t>
      </w:r>
      <w:r w:rsidR="00B34E15">
        <w:rPr>
          <w:rFonts w:ascii="Arial" w:hAnsi="Arial" w:cs="Arial"/>
          <w:bCs/>
          <w:color w:val="000000" w:themeColor="text1"/>
          <w:sz w:val="20"/>
          <w:szCs w:val="20"/>
        </w:rPr>
        <w:t>9</w:t>
      </w:r>
    </w:p>
    <w:p w:rsidR="00704F12" w:rsidRPr="00704F12" w:rsidRDefault="00704F12" w:rsidP="00704F12">
      <w:pPr>
        <w:widowControl w:val="0"/>
        <w:suppressAutoHyphens/>
        <w:spacing w:after="120"/>
        <w:rPr>
          <w:rFonts w:eastAsia="Arial Unicode MS"/>
          <w:kern w:val="1"/>
        </w:rPr>
      </w:pPr>
    </w:p>
    <w:p w:rsidR="00C67EE1" w:rsidRPr="002726CD" w:rsidRDefault="00704F12" w:rsidP="002726CD">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5B3008" w:rsidRPr="00704F12" w:rsidRDefault="005B3008" w:rsidP="005B3008">
      <w:pPr>
        <w:widowControl w:val="0"/>
        <w:suppressAutoHyphens/>
        <w:spacing w:after="120"/>
        <w:jc w:val="both"/>
        <w:rPr>
          <w:rFonts w:ascii="Arial" w:eastAsia="Arial Unicode MS" w:hAnsi="Arial" w:cs="Arial"/>
          <w:kern w:val="1"/>
          <w:sz w:val="20"/>
          <w:szCs w:val="20"/>
        </w:rPr>
      </w:pP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w:t>
      </w:r>
      <w:r w:rsidRPr="00704F12">
        <w:rPr>
          <w:rFonts w:ascii="Arial" w:eastAsia="Arial Unicode MS" w:hAnsi="Arial" w:cs="Arial"/>
          <w:kern w:val="1"/>
          <w:sz w:val="20"/>
          <w:szCs w:val="20"/>
        </w:rPr>
        <w:lastRenderedPageBreak/>
        <w:t>saņemšanu un nepieciešamo maksājumu veikšanu), kā arī faktiskajiem apstākļiem būvlaukumā un visu darbu izpildi līdz nodošanai ekspluatācijā, uzņemas Būvuzņēmējs.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5B3008"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5B3008" w:rsidRDefault="005B3008" w:rsidP="005B300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5B3008" w:rsidRDefault="005B3008" w:rsidP="005B300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5B3008" w:rsidRPr="00371F94"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B3008" w:rsidRPr="004C6FEC" w:rsidRDefault="005B3008" w:rsidP="005B3008">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5B3008" w:rsidRPr="004C6FEC" w:rsidRDefault="005B3008" w:rsidP="005B3008">
      <w:pPr>
        <w:pStyle w:val="Apakpunkts"/>
        <w:widowControl w:val="0"/>
        <w:numPr>
          <w:ilvl w:val="0"/>
          <w:numId w:val="0"/>
        </w:numPr>
        <w:suppressAutoHyphens/>
        <w:spacing w:after="120"/>
        <w:ind w:left="851"/>
        <w:jc w:val="both"/>
        <w:rPr>
          <w:rFonts w:eastAsia="Arial Unicode MS" w:cs="Arial"/>
          <w:b w:val="0"/>
          <w:kern w:val="2"/>
          <w:szCs w:val="20"/>
        </w:rPr>
      </w:pP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5B3008" w:rsidRPr="00816F65" w:rsidRDefault="005B3008" w:rsidP="005B3008">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5B3008"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5B3008" w:rsidRDefault="005B3008" w:rsidP="005B300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w:t>
      </w:r>
      <w:r w:rsidRPr="00D0691F">
        <w:rPr>
          <w:rFonts w:ascii="Arial" w:eastAsia="Arial Unicode MS" w:hAnsi="Arial" w:cs="Arial"/>
          <w:kern w:val="1"/>
          <w:sz w:val="20"/>
          <w:szCs w:val="20"/>
        </w:rPr>
        <w:lastRenderedPageBreak/>
        <w:t>(_________________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5B3008" w:rsidRPr="00D0691F" w:rsidRDefault="005B3008" w:rsidP="005B3008">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5B3008" w:rsidRPr="00D0691F" w:rsidRDefault="005B3008" w:rsidP="005B3008">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5B3008" w:rsidRPr="00D0691F" w:rsidRDefault="005B3008" w:rsidP="005B3008">
      <w:pPr>
        <w:widowControl w:val="0"/>
        <w:tabs>
          <w:tab w:val="left" w:pos="567"/>
        </w:tabs>
        <w:suppressAutoHyphens/>
        <w:jc w:val="both"/>
        <w:rPr>
          <w:rFonts w:ascii="Arial" w:eastAsia="Arial Unicode MS" w:hAnsi="Arial" w:cs="Arial"/>
          <w:kern w:val="1"/>
          <w:sz w:val="20"/>
          <w:szCs w:val="20"/>
        </w:rPr>
      </w:pPr>
    </w:p>
    <w:p w:rsidR="005B3008" w:rsidRPr="00D0691F" w:rsidRDefault="005B3008" w:rsidP="005B3008">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5B3008" w:rsidRPr="00D0691F"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B3008" w:rsidRPr="00704F12" w:rsidRDefault="005B3008" w:rsidP="005B3008">
      <w:pPr>
        <w:widowControl w:val="0"/>
        <w:suppressAutoHyphens/>
        <w:spacing w:after="120"/>
        <w:jc w:val="both"/>
        <w:rPr>
          <w:rFonts w:ascii="Arial" w:eastAsia="Arial Unicode MS" w:hAnsi="Arial" w:cs="Arial"/>
          <w:kern w:val="1"/>
          <w:sz w:val="20"/>
          <w:szCs w:val="20"/>
        </w:rPr>
      </w:pP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w:t>
      </w:r>
      <w:r w:rsidRPr="00704F12">
        <w:rPr>
          <w:rFonts w:ascii="Arial" w:eastAsia="Arial Unicode MS" w:hAnsi="Arial" w:cs="Arial"/>
          <w:kern w:val="1"/>
          <w:sz w:val="20"/>
          <w:szCs w:val="20"/>
        </w:rPr>
        <w:lastRenderedPageBreak/>
        <w:t>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B3008" w:rsidRPr="00704F12" w:rsidRDefault="005B3008" w:rsidP="005B3008">
      <w:pPr>
        <w:widowControl w:val="0"/>
        <w:suppressAutoHyphens/>
        <w:spacing w:after="120"/>
        <w:jc w:val="both"/>
        <w:rPr>
          <w:rFonts w:ascii="Arial" w:eastAsia="Arial Unicode MS" w:hAnsi="Arial" w:cs="Arial"/>
          <w:kern w:val="1"/>
          <w:sz w:val="20"/>
          <w:szCs w:val="20"/>
        </w:rPr>
      </w:pP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5B3008" w:rsidRPr="00B321C7"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5B3008" w:rsidRPr="00704F12" w:rsidRDefault="005B3008" w:rsidP="005B3008">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5B3008" w:rsidRPr="00704F12" w:rsidRDefault="005B3008" w:rsidP="005B3008">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08730C" w:rsidRDefault="0008730C" w:rsidP="005B3008">
      <w:pPr>
        <w:widowControl w:val="0"/>
        <w:suppressAutoHyphens/>
        <w:spacing w:after="120"/>
        <w:jc w:val="right"/>
        <w:rPr>
          <w:rFonts w:ascii="Arial" w:hAnsi="Arial" w:cs="Arial"/>
          <w:b/>
          <w:color w:val="00000A"/>
          <w:sz w:val="20"/>
          <w:szCs w:val="20"/>
        </w:rPr>
      </w:pPr>
    </w:p>
    <w:p w:rsidR="0008730C" w:rsidRDefault="0008730C" w:rsidP="005B3008">
      <w:pPr>
        <w:widowControl w:val="0"/>
        <w:suppressAutoHyphens/>
        <w:spacing w:after="120"/>
        <w:jc w:val="right"/>
        <w:rPr>
          <w:rFonts w:ascii="Arial" w:hAnsi="Arial" w:cs="Arial"/>
          <w:b/>
          <w:color w:val="00000A"/>
          <w:sz w:val="20"/>
          <w:szCs w:val="20"/>
        </w:rPr>
      </w:pPr>
    </w:p>
    <w:p w:rsidR="0008730C" w:rsidRDefault="0008730C" w:rsidP="005B3008">
      <w:pPr>
        <w:widowControl w:val="0"/>
        <w:suppressAutoHyphens/>
        <w:spacing w:after="120"/>
        <w:jc w:val="right"/>
        <w:rPr>
          <w:rFonts w:ascii="Arial" w:hAnsi="Arial" w:cs="Arial"/>
          <w:b/>
          <w:color w:val="00000A"/>
          <w:sz w:val="20"/>
          <w:szCs w:val="20"/>
        </w:rPr>
      </w:pPr>
    </w:p>
    <w:p w:rsidR="0008730C" w:rsidRDefault="0008730C" w:rsidP="005B3008">
      <w:pPr>
        <w:widowControl w:val="0"/>
        <w:suppressAutoHyphens/>
        <w:spacing w:after="120"/>
        <w:jc w:val="right"/>
        <w:rPr>
          <w:rFonts w:ascii="Arial" w:hAnsi="Arial" w:cs="Arial"/>
          <w:b/>
          <w:color w:val="00000A"/>
          <w:sz w:val="20"/>
          <w:szCs w:val="20"/>
        </w:rPr>
      </w:pPr>
    </w:p>
    <w:p w:rsidR="0008730C" w:rsidRDefault="0008730C" w:rsidP="005B3008">
      <w:pPr>
        <w:widowControl w:val="0"/>
        <w:suppressAutoHyphens/>
        <w:spacing w:after="120"/>
        <w:jc w:val="right"/>
        <w:rPr>
          <w:rFonts w:ascii="Arial" w:hAnsi="Arial" w:cs="Arial"/>
          <w:b/>
          <w:color w:val="00000A"/>
          <w:sz w:val="20"/>
          <w:szCs w:val="20"/>
        </w:rPr>
      </w:pPr>
    </w:p>
    <w:p w:rsidR="00440ECC" w:rsidRPr="005B3008" w:rsidRDefault="00C67EE1" w:rsidP="005B3008">
      <w:pPr>
        <w:widowControl w:val="0"/>
        <w:suppressAutoHyphens/>
        <w:spacing w:after="120"/>
        <w:jc w:val="right"/>
        <w:rPr>
          <w:rFonts w:ascii="Arial" w:eastAsia="Arial Unicode MS" w:hAnsi="Arial" w:cs="Arial"/>
          <w:b/>
          <w:bCs/>
          <w:kern w:val="1"/>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FD371A">
        <w:rPr>
          <w:rFonts w:ascii="Arial" w:hAnsi="Arial" w:cs="Arial"/>
          <w:bCs/>
          <w:color w:val="000000" w:themeColor="text1"/>
          <w:sz w:val="20"/>
          <w:szCs w:val="20"/>
        </w:rPr>
        <w:t>. JNP 2015/3</w:t>
      </w:r>
      <w:r w:rsidR="00B34E15">
        <w:rPr>
          <w:rFonts w:ascii="Arial" w:hAnsi="Arial" w:cs="Arial"/>
          <w:bCs/>
          <w:color w:val="000000" w:themeColor="text1"/>
          <w:sz w:val="20"/>
          <w:szCs w:val="20"/>
        </w:rPr>
        <w:t>9</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B34E15" w:rsidRPr="00113E04" w:rsidRDefault="00B34E15" w:rsidP="00B34E15">
      <w:pPr>
        <w:spacing w:after="120"/>
        <w:jc w:val="center"/>
        <w:rPr>
          <w:rFonts w:ascii="Arial" w:hAnsi="Arial" w:cs="Arial"/>
          <w:b/>
          <w:bCs/>
          <w:iCs/>
          <w:sz w:val="20"/>
          <w:szCs w:val="20"/>
        </w:rPr>
      </w:pPr>
      <w:r w:rsidRPr="00113E04">
        <w:rPr>
          <w:rFonts w:ascii="Arial" w:hAnsi="Arial" w:cs="Arial"/>
          <w:b/>
          <w:bCs/>
          <w:sz w:val="20"/>
          <w:szCs w:val="20"/>
        </w:rPr>
        <w:t>atklātam konkursam „</w:t>
      </w:r>
      <w:r w:rsidRPr="00113E04">
        <w:rPr>
          <w:rFonts w:ascii="Arial" w:hAnsi="Arial" w:cs="Arial"/>
          <w:b/>
          <w:bCs/>
          <w:iCs/>
          <w:sz w:val="20"/>
          <w:szCs w:val="20"/>
        </w:rPr>
        <w:t>Projekta „Jelgavas novada pašvaldības Valgundes pagasta ceļa „Induļi-Skaistlauki” pārbūve km 0,00-</w:t>
      </w:r>
      <w:r w:rsidR="00113E04">
        <w:rPr>
          <w:rFonts w:ascii="Arial" w:hAnsi="Arial" w:cs="Arial"/>
          <w:b/>
          <w:bCs/>
          <w:iCs/>
          <w:sz w:val="20"/>
          <w:szCs w:val="20"/>
        </w:rPr>
        <w:t xml:space="preserve">km </w:t>
      </w:r>
      <w:r w:rsidRPr="00113E04">
        <w:rPr>
          <w:rFonts w:ascii="Arial" w:hAnsi="Arial" w:cs="Arial"/>
          <w:b/>
          <w:bCs/>
          <w:iCs/>
          <w:sz w:val="20"/>
          <w:szCs w:val="20"/>
        </w:rPr>
        <w:t>1,140 būvprojekta izstrāde, būvniecība un autoruzraudzība”</w:t>
      </w:r>
    </w:p>
    <w:p w:rsidR="00B34E15" w:rsidRPr="00113E04" w:rsidRDefault="00B34E15" w:rsidP="00B34E15">
      <w:pPr>
        <w:spacing w:after="120"/>
        <w:jc w:val="center"/>
        <w:rPr>
          <w:rFonts w:ascii="Arial" w:hAnsi="Arial" w:cs="Arial"/>
          <w:b/>
          <w:sz w:val="20"/>
          <w:szCs w:val="20"/>
        </w:rPr>
      </w:pPr>
      <w:r w:rsidRPr="00113E04">
        <w:rPr>
          <w:rFonts w:ascii="Arial" w:hAnsi="Arial" w:cs="Arial"/>
          <w:b/>
          <w:bCs/>
          <w:iCs/>
          <w:sz w:val="20"/>
          <w:szCs w:val="20"/>
        </w:rPr>
        <w:t xml:space="preserve"> </w:t>
      </w:r>
      <w:r w:rsidRPr="00113E04">
        <w:rPr>
          <w:rFonts w:ascii="Arial" w:hAnsi="Arial" w:cs="Arial"/>
          <w:b/>
          <w:sz w:val="20"/>
          <w:szCs w:val="20"/>
        </w:rPr>
        <w:t xml:space="preserve">ID. Nr. JNP 2015/39 </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w:t>
      </w:r>
      <w:r w:rsidR="00633110">
        <w:rPr>
          <w:rFonts w:ascii="Arial" w:hAnsi="Arial" w:cs="Arial"/>
          <w:sz w:val="20"/>
          <w:szCs w:val="20"/>
        </w:rPr>
        <w:t>beigšanas datumus</w:t>
      </w:r>
      <w:r w:rsidR="00FD6178" w:rsidRPr="00FD6178">
        <w:rPr>
          <w:rFonts w:ascii="Arial" w:hAnsi="Arial" w:cs="Arial"/>
          <w:sz w:val="20"/>
          <w:szCs w:val="20"/>
        </w:rPr>
        <w:t>)</w:t>
      </w:r>
      <w:r w:rsidR="00633110">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52DCD">
        <w:rPr>
          <w:rFonts w:ascii="Arial" w:hAnsi="Arial" w:cs="Arial"/>
          <w:bCs/>
          <w:color w:val="000000" w:themeColor="text1"/>
          <w:sz w:val="20"/>
          <w:szCs w:val="20"/>
        </w:rPr>
        <w:t>. JNP 2015/3</w:t>
      </w:r>
      <w:r w:rsidR="00B34E15">
        <w:rPr>
          <w:rFonts w:ascii="Arial" w:hAnsi="Arial" w:cs="Arial"/>
          <w:bCs/>
          <w:color w:val="000000" w:themeColor="text1"/>
          <w:sz w:val="20"/>
          <w:szCs w:val="20"/>
        </w:rPr>
        <w:t>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52DCD">
        <w:rPr>
          <w:rFonts w:ascii="Arial" w:hAnsi="Arial" w:cs="Arial"/>
          <w:bCs/>
          <w:color w:val="000000" w:themeColor="text1"/>
          <w:sz w:val="20"/>
          <w:szCs w:val="20"/>
        </w:rPr>
        <w:t>. JNP 2015/3</w:t>
      </w:r>
      <w:r w:rsidR="00B34E15">
        <w:rPr>
          <w:rFonts w:ascii="Arial" w:hAnsi="Arial" w:cs="Arial"/>
          <w:bCs/>
          <w:color w:val="000000" w:themeColor="text1"/>
          <w:sz w:val="20"/>
          <w:szCs w:val="20"/>
        </w:rPr>
        <w:t>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34E15" w:rsidRPr="00113E04" w:rsidRDefault="00B34E15" w:rsidP="00B34E15">
      <w:pPr>
        <w:spacing w:after="120"/>
        <w:jc w:val="center"/>
        <w:rPr>
          <w:rFonts w:ascii="Arial" w:hAnsi="Arial" w:cs="Arial"/>
          <w:b/>
          <w:bCs/>
          <w:iCs/>
          <w:sz w:val="20"/>
          <w:szCs w:val="20"/>
        </w:rPr>
      </w:pPr>
      <w:r w:rsidRPr="00113E04">
        <w:rPr>
          <w:rFonts w:ascii="Arial" w:hAnsi="Arial" w:cs="Arial"/>
          <w:b/>
          <w:bCs/>
          <w:sz w:val="20"/>
          <w:szCs w:val="20"/>
        </w:rPr>
        <w:t>atklātam konkursam „</w:t>
      </w:r>
      <w:r w:rsidRPr="00113E04">
        <w:rPr>
          <w:rFonts w:ascii="Arial" w:hAnsi="Arial" w:cs="Arial"/>
          <w:b/>
          <w:bCs/>
          <w:iCs/>
          <w:sz w:val="20"/>
          <w:szCs w:val="20"/>
        </w:rPr>
        <w:t>Projekta „Jelgavas novada pašvaldības Valgundes pagasta ceļa „Induļi-Skaistlauki” pārbūve km 0,00-</w:t>
      </w:r>
      <w:r w:rsidR="00113E04">
        <w:rPr>
          <w:rFonts w:ascii="Arial" w:hAnsi="Arial" w:cs="Arial"/>
          <w:b/>
          <w:bCs/>
          <w:iCs/>
          <w:sz w:val="20"/>
          <w:szCs w:val="20"/>
        </w:rPr>
        <w:t>km</w:t>
      </w:r>
      <w:r w:rsidRPr="00113E04">
        <w:rPr>
          <w:rFonts w:ascii="Arial" w:hAnsi="Arial" w:cs="Arial"/>
          <w:b/>
          <w:bCs/>
          <w:iCs/>
          <w:sz w:val="20"/>
          <w:szCs w:val="20"/>
        </w:rPr>
        <w:t>1,140 būvprojekta izstrāde, būvniecība un autoruzraudzība”</w:t>
      </w:r>
    </w:p>
    <w:p w:rsidR="00B34E15" w:rsidRPr="00113E04" w:rsidRDefault="00B34E15" w:rsidP="00B34E15">
      <w:pPr>
        <w:spacing w:after="120"/>
        <w:jc w:val="center"/>
        <w:rPr>
          <w:rFonts w:ascii="Arial" w:hAnsi="Arial" w:cs="Arial"/>
          <w:b/>
          <w:sz w:val="20"/>
          <w:szCs w:val="20"/>
        </w:rPr>
      </w:pPr>
      <w:r w:rsidRPr="00113E04">
        <w:rPr>
          <w:rFonts w:ascii="Arial" w:hAnsi="Arial" w:cs="Arial"/>
          <w:b/>
          <w:bCs/>
          <w:iCs/>
          <w:sz w:val="20"/>
          <w:szCs w:val="20"/>
        </w:rPr>
        <w:t xml:space="preserve"> </w:t>
      </w:r>
      <w:r w:rsidRPr="00113E04">
        <w:rPr>
          <w:rFonts w:ascii="Arial" w:hAnsi="Arial" w:cs="Arial"/>
          <w:b/>
          <w:sz w:val="20"/>
          <w:szCs w:val="20"/>
        </w:rPr>
        <w:t xml:space="preserve">ID. Nr. JNP 2015/39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B0" w:rsidRDefault="00865AB0" w:rsidP="000631A3">
      <w:r>
        <w:separator/>
      </w:r>
    </w:p>
  </w:endnote>
  <w:endnote w:type="continuationSeparator" w:id="0">
    <w:p w:rsidR="00865AB0" w:rsidRDefault="00865AB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65AB0" w:rsidRDefault="00865AB0">
        <w:pPr>
          <w:pStyle w:val="Footer"/>
          <w:jc w:val="right"/>
        </w:pPr>
        <w:r>
          <w:fldChar w:fldCharType="begin"/>
        </w:r>
        <w:r>
          <w:instrText xml:space="preserve"> PAGE   \* MERGEFORMAT </w:instrText>
        </w:r>
        <w:r>
          <w:fldChar w:fldCharType="separate"/>
        </w:r>
        <w:r w:rsidR="002C00B6">
          <w:rPr>
            <w:noProof/>
          </w:rPr>
          <w:t>1</w:t>
        </w:r>
        <w:r>
          <w:rPr>
            <w:noProof/>
          </w:rPr>
          <w:fldChar w:fldCharType="end"/>
        </w:r>
      </w:p>
    </w:sdtContent>
  </w:sdt>
  <w:p w:rsidR="00865AB0" w:rsidRDefault="00865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B0" w:rsidRDefault="00865AB0">
    <w:pPr>
      <w:pStyle w:val="Footer"/>
      <w:jc w:val="center"/>
    </w:pPr>
    <w:r>
      <w:fldChar w:fldCharType="begin"/>
    </w:r>
    <w:r>
      <w:instrText xml:space="preserve"> PAGE   \* MERGEFORMAT </w:instrText>
    </w:r>
    <w:r>
      <w:fldChar w:fldCharType="separate"/>
    </w:r>
    <w:r w:rsidR="002C00B6">
      <w:rPr>
        <w:noProof/>
      </w:rPr>
      <w:t>20</w:t>
    </w:r>
    <w:r>
      <w:fldChar w:fldCharType="end"/>
    </w:r>
  </w:p>
  <w:p w:rsidR="00865AB0" w:rsidRDefault="00865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B0" w:rsidRDefault="00865AB0" w:rsidP="000631A3">
      <w:r>
        <w:separator/>
      </w:r>
    </w:p>
  </w:footnote>
  <w:footnote w:type="continuationSeparator" w:id="0">
    <w:p w:rsidR="00865AB0" w:rsidRDefault="00865AB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E36E98DE"/>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29"/>
  </w:num>
  <w:num w:numId="3">
    <w:abstractNumId w:val="13"/>
  </w:num>
  <w:num w:numId="4">
    <w:abstractNumId w:val="15"/>
  </w:num>
  <w:num w:numId="5">
    <w:abstractNumId w:val="25"/>
  </w:num>
  <w:num w:numId="6">
    <w:abstractNumId w:val="4"/>
  </w:num>
  <w:num w:numId="7">
    <w:abstractNumId w:val="20"/>
  </w:num>
  <w:num w:numId="8">
    <w:abstractNumId w:val="16"/>
  </w:num>
  <w:num w:numId="9">
    <w:abstractNumId w:val="6"/>
  </w:num>
  <w:num w:numId="10">
    <w:abstractNumId w:val="5"/>
  </w:num>
  <w:num w:numId="11">
    <w:abstractNumId w:val="10"/>
  </w:num>
  <w:num w:numId="12">
    <w:abstractNumId w:val="7"/>
  </w:num>
  <w:num w:numId="13">
    <w:abstractNumId w:val="14"/>
  </w:num>
  <w:num w:numId="14">
    <w:abstractNumId w:val="0"/>
  </w:num>
  <w:num w:numId="15">
    <w:abstractNumId w:val="1"/>
  </w:num>
  <w:num w:numId="16">
    <w:abstractNumId w:val="11"/>
  </w:num>
  <w:num w:numId="17">
    <w:abstractNumId w:val="24"/>
  </w:num>
  <w:num w:numId="18">
    <w:abstractNumId w:val="18"/>
  </w:num>
  <w:num w:numId="19">
    <w:abstractNumId w:val="28"/>
  </w:num>
  <w:num w:numId="20">
    <w:abstractNumId w:val="21"/>
  </w:num>
  <w:num w:numId="21">
    <w:abstractNumId w:val="23"/>
  </w:num>
  <w:num w:numId="22">
    <w:abstractNumId w:val="12"/>
  </w:num>
  <w:num w:numId="23">
    <w:abstractNumId w:val="9"/>
  </w:num>
  <w:num w:numId="24">
    <w:abstractNumId w:val="8"/>
  </w:num>
  <w:num w:numId="25">
    <w:abstractNumId w:val="26"/>
  </w:num>
  <w:num w:numId="26">
    <w:abstractNumId w:val="19"/>
  </w:num>
  <w:num w:numId="27">
    <w:abstractNumId w:val="22"/>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1B48"/>
    <w:rsid w:val="00052508"/>
    <w:rsid w:val="00052591"/>
    <w:rsid w:val="000624F6"/>
    <w:rsid w:val="000631A3"/>
    <w:rsid w:val="000649AC"/>
    <w:rsid w:val="0007650E"/>
    <w:rsid w:val="0008730C"/>
    <w:rsid w:val="000927CC"/>
    <w:rsid w:val="00093385"/>
    <w:rsid w:val="000A052F"/>
    <w:rsid w:val="000B023C"/>
    <w:rsid w:val="000B3901"/>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13E04"/>
    <w:rsid w:val="00121EE3"/>
    <w:rsid w:val="001224FB"/>
    <w:rsid w:val="00122884"/>
    <w:rsid w:val="00125524"/>
    <w:rsid w:val="00135201"/>
    <w:rsid w:val="00137F6F"/>
    <w:rsid w:val="00145605"/>
    <w:rsid w:val="00167401"/>
    <w:rsid w:val="00172FC4"/>
    <w:rsid w:val="0019164C"/>
    <w:rsid w:val="0019218B"/>
    <w:rsid w:val="001A2851"/>
    <w:rsid w:val="001A6E95"/>
    <w:rsid w:val="001A7A62"/>
    <w:rsid w:val="001B0206"/>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26CD"/>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00B6"/>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903A2"/>
    <w:rsid w:val="003920E4"/>
    <w:rsid w:val="00395509"/>
    <w:rsid w:val="003A78AC"/>
    <w:rsid w:val="003B0B03"/>
    <w:rsid w:val="003B59AD"/>
    <w:rsid w:val="003B7514"/>
    <w:rsid w:val="003C0B78"/>
    <w:rsid w:val="003C7D05"/>
    <w:rsid w:val="003D1C30"/>
    <w:rsid w:val="003D3958"/>
    <w:rsid w:val="003E6E83"/>
    <w:rsid w:val="003F0E7C"/>
    <w:rsid w:val="003F1EBC"/>
    <w:rsid w:val="003F39A2"/>
    <w:rsid w:val="003F6E34"/>
    <w:rsid w:val="003F7899"/>
    <w:rsid w:val="004012C3"/>
    <w:rsid w:val="00403A03"/>
    <w:rsid w:val="00404966"/>
    <w:rsid w:val="00413F3F"/>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207D4"/>
    <w:rsid w:val="00522504"/>
    <w:rsid w:val="00522FC3"/>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A720D"/>
    <w:rsid w:val="005B3008"/>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33110"/>
    <w:rsid w:val="00641C94"/>
    <w:rsid w:val="00644D53"/>
    <w:rsid w:val="006506A6"/>
    <w:rsid w:val="00651968"/>
    <w:rsid w:val="00655722"/>
    <w:rsid w:val="006647C4"/>
    <w:rsid w:val="0068527F"/>
    <w:rsid w:val="00693163"/>
    <w:rsid w:val="00695E6B"/>
    <w:rsid w:val="006A01D9"/>
    <w:rsid w:val="006A21E6"/>
    <w:rsid w:val="006A4292"/>
    <w:rsid w:val="006A43A2"/>
    <w:rsid w:val="006B01F9"/>
    <w:rsid w:val="006B302B"/>
    <w:rsid w:val="006B4CC8"/>
    <w:rsid w:val="006B6B90"/>
    <w:rsid w:val="006B79E3"/>
    <w:rsid w:val="006C320F"/>
    <w:rsid w:val="006C3688"/>
    <w:rsid w:val="006D0501"/>
    <w:rsid w:val="006D5825"/>
    <w:rsid w:val="006D678E"/>
    <w:rsid w:val="006F1E95"/>
    <w:rsid w:val="006F7735"/>
    <w:rsid w:val="00704F12"/>
    <w:rsid w:val="00706D5B"/>
    <w:rsid w:val="00712763"/>
    <w:rsid w:val="00716295"/>
    <w:rsid w:val="007207E3"/>
    <w:rsid w:val="00721512"/>
    <w:rsid w:val="0072577C"/>
    <w:rsid w:val="00731B4B"/>
    <w:rsid w:val="0074128E"/>
    <w:rsid w:val="00750A8E"/>
    <w:rsid w:val="00751E04"/>
    <w:rsid w:val="00761E59"/>
    <w:rsid w:val="00763B35"/>
    <w:rsid w:val="00773203"/>
    <w:rsid w:val="0077336E"/>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5E3F"/>
    <w:rsid w:val="00852191"/>
    <w:rsid w:val="0085413E"/>
    <w:rsid w:val="008636E5"/>
    <w:rsid w:val="00863B47"/>
    <w:rsid w:val="00865023"/>
    <w:rsid w:val="00865AB0"/>
    <w:rsid w:val="00865EA9"/>
    <w:rsid w:val="00870882"/>
    <w:rsid w:val="00875081"/>
    <w:rsid w:val="008861F9"/>
    <w:rsid w:val="00897927"/>
    <w:rsid w:val="008A6431"/>
    <w:rsid w:val="008B2D58"/>
    <w:rsid w:val="008B6A3B"/>
    <w:rsid w:val="008C1026"/>
    <w:rsid w:val="008C22F6"/>
    <w:rsid w:val="008C5497"/>
    <w:rsid w:val="008C55D0"/>
    <w:rsid w:val="008D12AB"/>
    <w:rsid w:val="008D3082"/>
    <w:rsid w:val="008D588A"/>
    <w:rsid w:val="008D775D"/>
    <w:rsid w:val="008E221B"/>
    <w:rsid w:val="008E60E6"/>
    <w:rsid w:val="008F20B2"/>
    <w:rsid w:val="008F2FB8"/>
    <w:rsid w:val="008F4915"/>
    <w:rsid w:val="008F5482"/>
    <w:rsid w:val="008F6854"/>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D31E9"/>
    <w:rsid w:val="00BD3CA0"/>
    <w:rsid w:val="00BD5BD5"/>
    <w:rsid w:val="00BE48D7"/>
    <w:rsid w:val="00BE5E45"/>
    <w:rsid w:val="00BF2128"/>
    <w:rsid w:val="00BF53EC"/>
    <w:rsid w:val="00C03FA5"/>
    <w:rsid w:val="00C13196"/>
    <w:rsid w:val="00C1361B"/>
    <w:rsid w:val="00C204A1"/>
    <w:rsid w:val="00C26A20"/>
    <w:rsid w:val="00C37EA2"/>
    <w:rsid w:val="00C44C4A"/>
    <w:rsid w:val="00C51D62"/>
    <w:rsid w:val="00C55E3D"/>
    <w:rsid w:val="00C60C5C"/>
    <w:rsid w:val="00C67EE1"/>
    <w:rsid w:val="00C72BE5"/>
    <w:rsid w:val="00C73850"/>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7D8D"/>
    <w:rsid w:val="00EA3E7F"/>
    <w:rsid w:val="00EA6EDB"/>
    <w:rsid w:val="00EB39BA"/>
    <w:rsid w:val="00EC6689"/>
    <w:rsid w:val="00ED1411"/>
    <w:rsid w:val="00ED434F"/>
    <w:rsid w:val="00ED5099"/>
    <w:rsid w:val="00EE22EE"/>
    <w:rsid w:val="00EF2DE5"/>
    <w:rsid w:val="00EF666C"/>
    <w:rsid w:val="00F05057"/>
    <w:rsid w:val="00F1149A"/>
    <w:rsid w:val="00F1765C"/>
    <w:rsid w:val="00F2348F"/>
    <w:rsid w:val="00F25E47"/>
    <w:rsid w:val="00F32C3D"/>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1360-25CE-45EC-8F7F-C0063B29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4772</TotalTime>
  <Pages>20</Pages>
  <Words>26596</Words>
  <Characters>15161</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188</cp:revision>
  <cp:lastPrinted>2015-04-15T07:51:00Z</cp:lastPrinted>
  <dcterms:created xsi:type="dcterms:W3CDTF">2013-02-28T09:44:00Z</dcterms:created>
  <dcterms:modified xsi:type="dcterms:W3CDTF">2015-07-17T09:11:00Z</dcterms:modified>
</cp:coreProperties>
</file>