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DF6199" w14:textId="77777777" w:rsidR="00041977" w:rsidRDefault="00E8053F" w:rsidP="007A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Teteles</w:t>
      </w:r>
      <w:proofErr w:type="spellEnd"/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pamatskolas </w:t>
      </w:r>
    </w:p>
    <w:p w14:paraId="3E6E2E2D" w14:textId="35203D60" w:rsidR="00E8053F" w:rsidRPr="00166882" w:rsidRDefault="00E8053F" w:rsidP="007A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23EE4C64" w14:textId="77777777" w:rsidR="00E8053F" w:rsidRPr="00166882" w:rsidRDefault="00E8053F" w:rsidP="007A2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07F55C38" w14:textId="77777777" w:rsidR="00E8053F" w:rsidRPr="00954D73" w:rsidRDefault="00E8053F" w:rsidP="007A2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3"/>
        <w:gridCol w:w="4387"/>
      </w:tblGrid>
      <w:tr w:rsidR="00E8053F" w:rsidRPr="00954D73" w14:paraId="16434308" w14:textId="77777777" w:rsidTr="00B16F43">
        <w:trPr>
          <w:trHeight w:val="200"/>
        </w:trPr>
        <w:tc>
          <w:tcPr>
            <w:tcW w:w="2461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ADF732F" w14:textId="57B6A187" w:rsidR="00E8053F" w:rsidRPr="00954D73" w:rsidRDefault="00E8053F" w:rsidP="007A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FC6388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Jelgavas novada Cenu pagasta </w:t>
            </w:r>
            <w:proofErr w:type="spellStart"/>
            <w:r w:rsidRPr="00FC6388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Tetele</w:t>
            </w:r>
            <w:proofErr w:type="spellEnd"/>
            <w:r w:rsidRPr="00FC6388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, 01.1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FC6388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52BDAD" w14:textId="145FAC09" w:rsidR="00E8053F" w:rsidRPr="00954D73" w:rsidRDefault="00E8053F" w:rsidP="007A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E8053F" w:rsidRPr="00954D73" w14:paraId="15253131" w14:textId="77777777" w:rsidTr="00B16F43">
        <w:tc>
          <w:tcPr>
            <w:tcW w:w="2461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D6F51B0" w14:textId="77777777" w:rsidR="00E8053F" w:rsidRPr="00954D73" w:rsidRDefault="00E8053F" w:rsidP="007A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9DA73A" w14:textId="35578FA4" w:rsidR="00E8053F" w:rsidRPr="00954D73" w:rsidRDefault="00E8053F" w:rsidP="007A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</w:tbl>
    <w:p w14:paraId="4EDCE577" w14:textId="77777777" w:rsidR="00E8053F" w:rsidRPr="00166882" w:rsidRDefault="00E8053F" w:rsidP="007A25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B5BD6B5" w14:textId="77777777" w:rsidR="00E8053F" w:rsidRPr="00166882" w:rsidRDefault="00E8053F" w:rsidP="007A25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D489460" w14:textId="77777777" w:rsidR="00E8053F" w:rsidRPr="00166882" w:rsidRDefault="00E8053F" w:rsidP="007A25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47110AC" w14:textId="77777777" w:rsidR="00E8053F" w:rsidRPr="00166882" w:rsidRDefault="00E8053F" w:rsidP="007A25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099829B" w14:textId="77777777" w:rsidR="00E8053F" w:rsidRPr="00166882" w:rsidRDefault="00E8053F" w:rsidP="007A25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C345244" w14:textId="77777777" w:rsidR="00E8053F" w:rsidRPr="00166882" w:rsidRDefault="00E8053F" w:rsidP="007A25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437"/>
        <w:gridCol w:w="4189"/>
      </w:tblGrid>
      <w:tr w:rsidR="00E8053F" w:rsidRPr="00931E71" w14:paraId="57B6774B" w14:textId="77777777" w:rsidTr="00B16F43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E44F25D" w14:textId="7B2E4D28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71">
              <w:rPr>
                <w:rFonts w:ascii="Times New Roman" w:hAnsi="Times New Roman" w:cs="Times New Roman"/>
                <w:sz w:val="24"/>
                <w:szCs w:val="24"/>
              </w:rPr>
              <w:t>Saskaņots</w:t>
            </w:r>
            <w:proofErr w:type="spellEnd"/>
            <w:r w:rsidRPr="00931E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12B6B3" w14:textId="3A52FBC8" w:rsidR="00E8053F" w:rsidRPr="00931E71" w:rsidRDefault="00E8053F" w:rsidP="007A25D2">
            <w:pPr>
              <w:jc w:val="center"/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</w:pPr>
            <w:proofErr w:type="spellStart"/>
            <w:r w:rsidRPr="00931E71"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  <w:t>Izglītības</w:t>
            </w:r>
            <w:proofErr w:type="spellEnd"/>
            <w:r w:rsidRPr="00931E71"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E71"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  <w:t>pārvaldes</w:t>
            </w:r>
            <w:proofErr w:type="spellEnd"/>
            <w:r w:rsidRPr="00931E71"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E71"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  <w:t>vadītāja</w:t>
            </w:r>
            <w:proofErr w:type="spellEnd"/>
          </w:p>
          <w:p w14:paraId="66F7AD7E" w14:textId="77777777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71"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  <w:t xml:space="preserve">Kristīne </w:t>
            </w:r>
            <w:proofErr w:type="spellStart"/>
            <w:r w:rsidRPr="00931E71"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  <w:t>Strūberga</w:t>
            </w:r>
            <w:proofErr w:type="spellEnd"/>
          </w:p>
          <w:p w14:paraId="46C7AB04" w14:textId="77777777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4F89609" w14:textId="1C91F210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FA0D273" w14:textId="26001174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</w:tr>
      <w:tr w:rsidR="00E8053F" w:rsidRPr="00931E71" w14:paraId="646CDB3F" w14:textId="77777777" w:rsidTr="00B16F43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B5948" w14:textId="77777777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</w:tr>
      <w:tr w:rsidR="00E8053F" w:rsidRPr="00931E71" w14:paraId="12D5FB60" w14:textId="77777777" w:rsidTr="00B16F43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F23F3A7" w14:textId="6BAA471C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47197E" w14:textId="7E76F14F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FA9F014" w14:textId="34145285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71"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  <w:t xml:space="preserve">Kristīne </w:t>
            </w:r>
            <w:proofErr w:type="spellStart"/>
            <w:r w:rsidRPr="00931E71">
              <w:rPr>
                <w:rStyle w:val="Strong"/>
                <w:rFonts w:ascii="Times New Roman" w:hAnsi="Times New Roman" w:cs="Times New Roman"/>
                <w:color w:val="58595B"/>
                <w:sz w:val="24"/>
                <w:szCs w:val="24"/>
                <w:shd w:val="clear" w:color="auto" w:fill="FFFFFF"/>
              </w:rPr>
              <w:t>Strūberga</w:t>
            </w:r>
            <w:proofErr w:type="spellEnd"/>
          </w:p>
          <w:p w14:paraId="356C3264" w14:textId="77777777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</w:tr>
      <w:tr w:rsidR="00E8053F" w:rsidRPr="00931E71" w14:paraId="15C5E731" w14:textId="77777777" w:rsidTr="00B16F43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194B92" w14:textId="77777777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paraksts</w:t>
            </w:r>
            <w:proofErr w:type="spellEnd"/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74F4A3" w14:textId="0AAE84AC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D9C777" w14:textId="77777777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vārds</w:t>
            </w:r>
            <w:proofErr w:type="spellEnd"/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, </w:t>
            </w:r>
            <w:proofErr w:type="spellStart"/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uzvārds</w:t>
            </w:r>
            <w:proofErr w:type="spellEnd"/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</w:tr>
      <w:tr w:rsidR="00E8053F" w:rsidRPr="00931E71" w14:paraId="037EB469" w14:textId="77777777" w:rsidTr="00B16F43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42F6CD" w14:textId="6424717B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01</w:t>
            </w:r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</w:t>
            </w:r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</w:t>
            </w:r>
            <w:r w:rsidRPr="00931E71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02F28E" w14:textId="652261F5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203ADB" w14:textId="7314F1E1" w:rsidR="00E8053F" w:rsidRPr="00931E71" w:rsidRDefault="00E8053F" w:rsidP="007A25D2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</w:tr>
    </w:tbl>
    <w:p w14:paraId="2EDBD33F" w14:textId="77777777" w:rsidR="00E8053F" w:rsidRPr="00166882" w:rsidRDefault="00E8053F" w:rsidP="007A25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679998" w14:textId="77777777" w:rsidR="00B22677" w:rsidRPr="00166882" w:rsidRDefault="00B22677" w:rsidP="007A25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7A25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7A25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  <w:bookmarkStart w:id="0" w:name="_Hlk150763692"/>
    </w:p>
    <w:p w14:paraId="294DE04F" w14:textId="77777777" w:rsidR="00B22677" w:rsidRPr="00166882" w:rsidRDefault="00B22677" w:rsidP="007A25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7A25D2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7A2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7A25D2">
      <w:pPr>
        <w:pStyle w:val="ListParagraph"/>
        <w:numPr>
          <w:ilvl w:val="1"/>
          <w:numId w:val="17"/>
        </w:numPr>
        <w:spacing w:line="300" w:lineRule="exact"/>
        <w:ind w:left="426"/>
        <w:jc w:val="center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04197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05904AF0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 programmas nosaukums</w:t>
            </w:r>
          </w:p>
          <w:p w14:paraId="3E4B1086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0B9798F4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</w:t>
            </w:r>
          </w:p>
          <w:p w14:paraId="30ABBABC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51D39238" w:rsidR="00B22677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Īstenošanas vietas adrese</w:t>
            </w:r>
          </w:p>
          <w:p w14:paraId="1B02827C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3C9D566B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7A25D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7A25D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04197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022282" w:rsidRPr="00412AB1" w14:paraId="29DFC44B" w14:textId="77777777" w:rsidTr="0004197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0C439D21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18EFB0CA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3E5DF8E5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V_4009</w:t>
            </w:r>
          </w:p>
        </w:tc>
        <w:tc>
          <w:tcPr>
            <w:tcW w:w="1276" w:type="dxa"/>
          </w:tcPr>
          <w:p w14:paraId="6D55979A" w14:textId="362235EB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03.09.2020.</w:t>
            </w:r>
          </w:p>
        </w:tc>
        <w:tc>
          <w:tcPr>
            <w:tcW w:w="1559" w:type="dxa"/>
          </w:tcPr>
          <w:p w14:paraId="07A5DE38" w14:textId="119B191E" w:rsidR="00022282" w:rsidRPr="00435946" w:rsidRDefault="00435946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</w:t>
            </w:r>
          </w:p>
        </w:tc>
        <w:tc>
          <w:tcPr>
            <w:tcW w:w="1701" w:type="dxa"/>
          </w:tcPr>
          <w:p w14:paraId="014AB3C9" w14:textId="4DCAD70A" w:rsidR="00022282" w:rsidRPr="00435946" w:rsidRDefault="00435946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87</w:t>
            </w:r>
          </w:p>
        </w:tc>
      </w:tr>
      <w:tr w:rsidR="00022282" w:rsidRPr="00412AB1" w14:paraId="030C4FFC" w14:textId="77777777" w:rsidTr="0004197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262D3CF5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Pamatizglītības mazākumtautību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30883728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21011121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4B8BD30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V-9304</w:t>
            </w:r>
          </w:p>
        </w:tc>
        <w:tc>
          <w:tcPr>
            <w:tcW w:w="1276" w:type="dxa"/>
          </w:tcPr>
          <w:p w14:paraId="49DB241E" w14:textId="6E3EDB76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24.08.2017.</w:t>
            </w:r>
          </w:p>
        </w:tc>
        <w:tc>
          <w:tcPr>
            <w:tcW w:w="1559" w:type="dxa"/>
          </w:tcPr>
          <w:p w14:paraId="77056205" w14:textId="7B2426F9" w:rsidR="00022282" w:rsidRPr="00435946" w:rsidRDefault="00435946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14:paraId="248E52D4" w14:textId="4F1BB108" w:rsidR="00022282" w:rsidRPr="00435946" w:rsidRDefault="00435946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22282" w:rsidRPr="00412AB1" w14:paraId="584D8A94" w14:textId="77777777" w:rsidTr="0004197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1DFA3964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Speciālās pamatizglītības programma izglītojamajiem ar mācīšanās traucējumiem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23786A33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21015611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5D8EFB32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V_70</w:t>
            </w:r>
          </w:p>
        </w:tc>
        <w:tc>
          <w:tcPr>
            <w:tcW w:w="1276" w:type="dxa"/>
          </w:tcPr>
          <w:p w14:paraId="78BC320E" w14:textId="514790BE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09.08.2010.</w:t>
            </w:r>
          </w:p>
        </w:tc>
        <w:tc>
          <w:tcPr>
            <w:tcW w:w="1559" w:type="dxa"/>
          </w:tcPr>
          <w:p w14:paraId="66D94A5E" w14:textId="2B502714" w:rsidR="00022282" w:rsidRPr="00435946" w:rsidRDefault="00435946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906E35F" w14:textId="2567E42D" w:rsidR="00022282" w:rsidRPr="00435946" w:rsidRDefault="00435946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2282" w:rsidRPr="00412AB1" w14:paraId="6AF16381" w14:textId="77777777" w:rsidTr="0004197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03A0953E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Speciālās pamatizglītības mazākumtautību programma izglītojamajiem ar mācīšanās traucējumiem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428A218C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21015621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4835D046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V_4010</w:t>
            </w:r>
          </w:p>
        </w:tc>
        <w:tc>
          <w:tcPr>
            <w:tcW w:w="1276" w:type="dxa"/>
          </w:tcPr>
          <w:p w14:paraId="075A3DCA" w14:textId="5383F428" w:rsidR="00022282" w:rsidRPr="00412AB1" w:rsidRDefault="00022282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03.09.2020.</w:t>
            </w:r>
          </w:p>
        </w:tc>
        <w:tc>
          <w:tcPr>
            <w:tcW w:w="1559" w:type="dxa"/>
          </w:tcPr>
          <w:p w14:paraId="2C013052" w14:textId="0E279AFF" w:rsidR="00022282" w:rsidRPr="00435946" w:rsidRDefault="00435946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4A78DA2" w14:textId="06C24976" w:rsidR="00022282" w:rsidRPr="00435946" w:rsidRDefault="00435946" w:rsidP="007A25D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B092C2C" w:rsidR="00B22677" w:rsidRDefault="00B22677" w:rsidP="007A25D2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79F46514" w14:textId="33955196" w:rsidR="005B008E" w:rsidRDefault="005B008E" w:rsidP="007A25D2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maiņas rezultātā no izglītības iestādes 2022./2023.mācību gada laikā izstājās 4 izglītojamie.</w:t>
      </w:r>
    </w:p>
    <w:p w14:paraId="139886D1" w14:textId="73EEC239" w:rsidR="00B22677" w:rsidRPr="005B008E" w:rsidRDefault="005B008E" w:rsidP="007A25D2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pēc vecāku vai izglītojamo vēlmes mainīt izglītības iestādi 2022./2023.mācību gadā, izvēloties izglītojamā spējām un vajadzībām atbilstošāku izglītības programmu, vai izglītības iestādes papildu piedāvājumu izstājās 5 izglītojamie.</w:t>
      </w:r>
    </w:p>
    <w:p w14:paraId="5D78C622" w14:textId="77777777" w:rsidR="00B22677" w:rsidRDefault="00B22677" w:rsidP="007A25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0B04E31F" w:rsidR="00B22677" w:rsidRDefault="00B22677" w:rsidP="007A25D2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76381">
        <w:rPr>
          <w:rFonts w:ascii="Times New Roman" w:hAnsi="Times New Roman" w:cs="Times New Roman"/>
          <w:sz w:val="24"/>
          <w:szCs w:val="24"/>
          <w:lang w:val="lv-LV"/>
        </w:rPr>
        <w:t>Pedagogu ilgstošās vakances un atbalsta personāla nodrošinājums</w:t>
      </w:r>
    </w:p>
    <w:p w14:paraId="63A8DC69" w14:textId="77777777" w:rsidR="00B22677" w:rsidRPr="00276381" w:rsidRDefault="00B22677" w:rsidP="007A25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7A25D2">
        <w:tc>
          <w:tcPr>
            <w:tcW w:w="993" w:type="dxa"/>
          </w:tcPr>
          <w:p w14:paraId="601C8760" w14:textId="77777777" w:rsidR="00B22677" w:rsidRPr="00636C79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7A25D2">
        <w:tc>
          <w:tcPr>
            <w:tcW w:w="993" w:type="dxa"/>
          </w:tcPr>
          <w:p w14:paraId="79402C90" w14:textId="77777777" w:rsidR="00B22677" w:rsidRPr="00636C79" w:rsidRDefault="00B22677" w:rsidP="007A25D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1E058DE2" w:rsidR="00B22677" w:rsidRPr="00636C79" w:rsidRDefault="00515559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038" w:type="dxa"/>
          </w:tcPr>
          <w:p w14:paraId="7C64A538" w14:textId="6DC43EBE" w:rsidR="00B22677" w:rsidRPr="00636C79" w:rsidRDefault="0033302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psihologa un sociālā pedagoga vakance.</w:t>
            </w:r>
          </w:p>
        </w:tc>
      </w:tr>
      <w:tr w:rsidR="00B22677" w:rsidRPr="00733D05" w14:paraId="26414EDE" w14:textId="77777777" w:rsidTr="007A25D2">
        <w:tc>
          <w:tcPr>
            <w:tcW w:w="993" w:type="dxa"/>
          </w:tcPr>
          <w:p w14:paraId="331427EB" w14:textId="77777777" w:rsidR="00B22677" w:rsidRPr="00636C79" w:rsidRDefault="00B22677" w:rsidP="007A25D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0ACDCE84" w:rsidR="00B22677" w:rsidRPr="00636C79" w:rsidRDefault="0033302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038" w:type="dxa"/>
          </w:tcPr>
          <w:p w14:paraId="2F09CE6F" w14:textId="5543752D" w:rsidR="00B22677" w:rsidRPr="00636C79" w:rsidRDefault="0033302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Skolā nodrošināts atbalsta personāls: logopēds, speciālais pedagogs, medicīnas māsa, karjeras konsultants, </w:t>
            </w:r>
            <w:r w:rsidR="0076590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palīgs.</w:t>
            </w:r>
          </w:p>
        </w:tc>
      </w:tr>
    </w:tbl>
    <w:p w14:paraId="4F1C793C" w14:textId="77777777" w:rsidR="00B22677" w:rsidRDefault="00B22677" w:rsidP="007A25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7A25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7A25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7A25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41F80A7" w:rsidR="00B22677" w:rsidRDefault="00B22677" w:rsidP="007A25D2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53FB5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="00F050EA">
        <w:rPr>
          <w:rFonts w:ascii="Times New Roman" w:hAnsi="Times New Roman" w:cs="Times New Roman"/>
          <w:sz w:val="24"/>
          <w:szCs w:val="24"/>
          <w:lang w:val="lv-LV"/>
        </w:rPr>
        <w:t xml:space="preserve"> spēju un talantu attīstība drošā, veselīgā un mūsdienīgā vidē.</w:t>
      </w:r>
    </w:p>
    <w:p w14:paraId="4A5244C0" w14:textId="081DCCC6" w:rsidR="00B22677" w:rsidRDefault="00B22677" w:rsidP="007A25D2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bookmarkStart w:id="1" w:name="_Hlk88750503"/>
      <w:r w:rsidR="00F050EA" w:rsidRPr="00FC6388">
        <w:rPr>
          <w:rFonts w:ascii="Times New Roman" w:hAnsi="Times New Roman" w:cs="Times New Roman"/>
          <w:sz w:val="24"/>
          <w:szCs w:val="24"/>
          <w:lang w:val="lv-LV"/>
        </w:rPr>
        <w:t>progresīva, atpazīstama, skolēniem, skolotājiem un vecākiem labvēlīga, tradīcijām bagāta skola.</w:t>
      </w:r>
      <w:bookmarkEnd w:id="1"/>
    </w:p>
    <w:p w14:paraId="51245E01" w14:textId="2EBE3471" w:rsidR="00B22677" w:rsidRDefault="00B22677" w:rsidP="007A25D2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</w:t>
      </w:r>
      <w:r w:rsidR="00F050EA">
        <w:rPr>
          <w:rFonts w:ascii="Times New Roman" w:hAnsi="Times New Roman" w:cs="Times New Roman"/>
          <w:sz w:val="24"/>
          <w:szCs w:val="24"/>
          <w:lang w:val="lv-LV"/>
        </w:rPr>
        <w:t xml:space="preserve"> sadarbība, atbildība, tradīcijas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B37278C" w14:textId="0E4553A7" w:rsidR="00B22677" w:rsidRDefault="00B22677" w:rsidP="007A25D2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7A25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143646C7" w14:textId="77777777" w:rsidR="007A25D2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Norāde par uzdevumu izpildi (Sasniegts/daļēji sasniegts/ </w:t>
            </w:r>
          </w:p>
          <w:p w14:paraId="20888FCC" w14:textId="3616653B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0A1544E1" w:rsidR="00B22677" w:rsidRDefault="00F050EA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Attīstīt un pilnveidot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skolēnu</w:t>
            </w: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valsts valodas lietojuma prasmes, īstenojot pāreju uz izglītības saturu valsts valodā (mazākumtautību izglītības programmās).</w:t>
            </w:r>
          </w:p>
        </w:tc>
        <w:tc>
          <w:tcPr>
            <w:tcW w:w="3520" w:type="dxa"/>
          </w:tcPr>
          <w:p w14:paraId="26337A7D" w14:textId="326C62B5" w:rsidR="00515559" w:rsidRPr="00515559" w:rsidRDefault="00515559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5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Kvalitatīvi - </w:t>
            </w:r>
          </w:p>
          <w:p w14:paraId="1F3A951A" w14:textId="21D9B3B9" w:rsidR="00CB14EA" w:rsidRDefault="00CB14EA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stundu vērošana 3.</w:t>
            </w:r>
            <w:r w:rsidR="00424E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6.</w:t>
            </w:r>
            <w:r w:rsidR="00424E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klasēs, ar mērķi iegūt informāciju par </w:t>
            </w:r>
            <w:r w:rsidR="00A53F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gatavību mācību procesam pārejai uz valsts valodu un</w:t>
            </w:r>
            <w:r w:rsidR="0004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izstrādāt tālāko darbības rīcības plānu.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bookmarkStart w:id="2" w:name="_Hlk150786576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stundu vērošana pie pedagogiem, kuri 2023./2024.mācību gadā strādās 1., 4.</w:t>
            </w:r>
            <w:r w:rsidR="00424E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7.</w:t>
            </w:r>
            <w:r w:rsidR="00424E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klasēs</w:t>
            </w:r>
            <w:r w:rsidR="0004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mērķi sniegt nepieciešamo atbalstu pedagogiem pārejai uz valsts valodu.</w:t>
            </w:r>
          </w:p>
          <w:bookmarkEnd w:id="2"/>
          <w:p w14:paraId="52CC0762" w14:textId="77777777" w:rsidR="00515559" w:rsidRDefault="00515559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5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Kvantitatīvi-</w:t>
            </w:r>
          </w:p>
          <w:p w14:paraId="6915AA99" w14:textId="4AF0E7BF" w:rsidR="00515559" w:rsidRDefault="00515559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3" w:name="_Hlk150786973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Vismaz 50% izglītojamo 3.</w:t>
            </w:r>
            <w:r w:rsidR="00424E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klasē izprot mācību vielu valsts valodā un to lieto ikdienas mācību darbā.</w:t>
            </w:r>
          </w:p>
          <w:p w14:paraId="7FC2EDF0" w14:textId="31ACA0D7" w:rsidR="00515559" w:rsidRPr="00515559" w:rsidRDefault="00AC708F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4" w:name="_Hlk150787001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20</w:t>
            </w:r>
            <w:r w:rsidR="007206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 6.</w:t>
            </w:r>
            <w:r w:rsidR="00424E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 </w:t>
            </w:r>
            <w:r w:rsidR="007206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klases izglītojamie izprot mācību vielu valsts valodā un to lieto ikdienas mācību darbā.</w:t>
            </w:r>
          </w:p>
          <w:bookmarkEnd w:id="4"/>
          <w:p w14:paraId="1DA0EE2E" w14:textId="37F10554" w:rsidR="00515559" w:rsidRDefault="00515559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1135B1BC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1EEC306" w14:textId="77777777" w:rsidR="003A6675" w:rsidRDefault="003A6675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136C9C7" w14:textId="77777777" w:rsidR="003A6675" w:rsidRDefault="003A6675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4BF297E" w14:textId="77777777" w:rsidR="003A6675" w:rsidRDefault="00720663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  <w:p w14:paraId="04E30AC9" w14:textId="77777777" w:rsidR="00720663" w:rsidRDefault="00720663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1DE23C4" w14:textId="348D0B00" w:rsidR="00720663" w:rsidRDefault="00720663" w:rsidP="006F47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Profesionālās pilnveides kursu nodrošināšana pedagogiem, pārejai mācībām valsts valodā</w:t>
            </w:r>
            <w:r w:rsidR="00954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Nodrošināt </w:t>
            </w:r>
            <w:r w:rsidR="00424E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4.b un 7.b kl. </w:t>
            </w:r>
            <w:r w:rsidR="00A53F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izglītojamiem</w:t>
            </w:r>
            <w:r w:rsidR="00424E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54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individuālās nodarbības latviešu valodas padziļinātai apguvei.</w:t>
            </w:r>
          </w:p>
        </w:tc>
      </w:tr>
      <w:tr w:rsidR="00047DE2" w14:paraId="357814CC" w14:textId="77777777" w:rsidTr="002045E7">
        <w:tc>
          <w:tcPr>
            <w:tcW w:w="2263" w:type="dxa"/>
          </w:tcPr>
          <w:p w14:paraId="12AE4113" w14:textId="0E415792" w:rsidR="00047DE2" w:rsidRDefault="00047DE2" w:rsidP="002045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Kompetenču pieejā balstīta mācību stunda: skolēnam saprotami definēts sasniedzamais rezultāts, caurviju prasmes, jēgpilni mācību uzdevumi un efektīva atgriezeniskā saite.</w:t>
            </w:r>
          </w:p>
        </w:tc>
        <w:tc>
          <w:tcPr>
            <w:tcW w:w="3520" w:type="dxa"/>
          </w:tcPr>
          <w:p w14:paraId="3F3FC0A7" w14:textId="4A881BEF" w:rsidR="00720663" w:rsidRPr="006176F0" w:rsidRDefault="00720663" w:rsidP="002045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17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Kvalitatīvi-</w:t>
            </w:r>
          </w:p>
          <w:p w14:paraId="7D5DC8E9" w14:textId="58B5078F" w:rsidR="00047DE2" w:rsidRDefault="00047DE2" w:rsidP="002045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4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mācību stundās skaidri un saprotami definē stundas sasniedzamo rezultātu. Pedagogi, sasniedzamo rezultātu definē sadarbībā ar </w:t>
            </w:r>
            <w:r w:rsidR="00A53F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izglītojamajiem</w:t>
            </w:r>
            <w:r w:rsidRPr="00047D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E-klasē pie stundu tēmām pedagogi norāda mācību stundas sasniedzamo rezultātu.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0F70F117" w14:textId="77777777" w:rsidR="00047DE2" w:rsidRDefault="006176F0" w:rsidP="002045E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17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Kvantitatīvi-</w:t>
            </w:r>
          </w:p>
          <w:p w14:paraId="42033CF0" w14:textId="3B42FBAB" w:rsidR="006176F0" w:rsidRPr="006176F0" w:rsidRDefault="006176F0" w:rsidP="002045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90% administrācijas vērotajās mācību stundās pedagogi skaidri un saprotami definē sasniedzamos rezultātus. 80% vērotajās mācību stundās pedagogi veic jēgpilnu un efektīvu atgriezenisko saiti. </w:t>
            </w:r>
          </w:p>
        </w:tc>
        <w:tc>
          <w:tcPr>
            <w:tcW w:w="2421" w:type="dxa"/>
          </w:tcPr>
          <w:p w14:paraId="365A24F3" w14:textId="77777777" w:rsidR="00047DE2" w:rsidRDefault="003A6675" w:rsidP="003A66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  <w:p w14:paraId="1145952A" w14:textId="5BCB399C" w:rsidR="003A6675" w:rsidRDefault="00BD1237" w:rsidP="003A66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3A667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edagogi E-klasē pie stundu tēmām norāda mācību stundas sasniedzamos rezultātus. </w:t>
            </w:r>
            <w:bookmarkStart w:id="5" w:name="_Hlk150787065"/>
            <w:r w:rsidR="003A667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Vērotajās mācību stundās </w:t>
            </w:r>
            <w:r w:rsidR="00A53F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izglītojamie </w:t>
            </w:r>
            <w:r w:rsidR="003A667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netiek iesaistīti sasniedzamo rezultātu definēšanā, pārsvarā tos </w:t>
            </w:r>
            <w:r w:rsidR="00B05C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definē pedagogi.</w:t>
            </w:r>
            <w:bookmarkEnd w:id="5"/>
            <w:r w:rsidR="00B05C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bookmarkStart w:id="6" w:name="_Hlk150787087"/>
            <w:r w:rsidR="00B05C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 103 vērotajām mācību stundām, </w:t>
            </w:r>
            <w:proofErr w:type="spellStart"/>
            <w:r w:rsidR="00B05C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pašvadīta</w:t>
            </w:r>
            <w:proofErr w:type="spellEnd"/>
            <w:r w:rsidR="00B05C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mācību procesa elementi tika novēroti 5 mācību stundās.</w:t>
            </w:r>
            <w:bookmarkEnd w:id="6"/>
          </w:p>
        </w:tc>
      </w:tr>
    </w:tbl>
    <w:p w14:paraId="40235BE1" w14:textId="77777777" w:rsidR="00B22677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Pr="00F63475" w:rsidRDefault="00B22677" w:rsidP="007A25D2">
      <w:pPr>
        <w:pStyle w:val="ListParagraph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F63475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 w:rsidRPr="00F6347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F63475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F63475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F63475"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7A25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1C16E9DC" w14:textId="77777777" w:rsidR="007A25D2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Norāde par uzdevumu izpildi (Sasniegts/daļēji sasniegts/ </w:t>
            </w:r>
          </w:p>
          <w:p w14:paraId="7272B9DA" w14:textId="36600119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4CDC6323" w:rsidR="00B22677" w:rsidRDefault="006E442A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ilnveidot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skolēnu un pedagogu</w:t>
            </w:r>
            <w:r w:rsidRPr="00FC63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valsts valodas lietojuma prasmes, īstenojot pāreju uz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Vienotu skolu.</w:t>
            </w:r>
          </w:p>
        </w:tc>
        <w:tc>
          <w:tcPr>
            <w:tcW w:w="3520" w:type="dxa"/>
          </w:tcPr>
          <w:p w14:paraId="2B23119F" w14:textId="77777777" w:rsidR="006E442A" w:rsidRDefault="006E442A" w:rsidP="007A25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Kvalitatīvi-</w:t>
            </w:r>
          </w:p>
          <w:p w14:paraId="7DBEA1FE" w14:textId="184B9A7C" w:rsidR="006E442A" w:rsidRPr="006E442A" w:rsidRDefault="006E442A" w:rsidP="007A25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Sekmīgs mācību process visos mācību priekšmetos valsts valodā, īpaši  izvērtējot 1., 4.b un 7.b klases.</w:t>
            </w:r>
          </w:p>
        </w:tc>
        <w:tc>
          <w:tcPr>
            <w:tcW w:w="2421" w:type="dxa"/>
          </w:tcPr>
          <w:p w14:paraId="15598024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764EB43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E44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6E4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vantitatīvi</w:t>
            </w:r>
            <w:r w:rsidR="006E4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-</w:t>
            </w:r>
          </w:p>
          <w:p w14:paraId="3653065B" w14:textId="4E844810" w:rsidR="00922700" w:rsidRPr="00922700" w:rsidRDefault="00922700" w:rsidP="00922700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2270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Vismaz </w:t>
            </w:r>
            <w:r w:rsidR="0037716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150A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9</w:t>
            </w:r>
            <w:r w:rsidRPr="0092270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0% izglītojamo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</w:t>
            </w:r>
            <w:r w:rsidRPr="0092270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.b klasē</w:t>
            </w:r>
            <w:r w:rsidR="007150A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 80% 5.b, 75% 7.b un 60% 8.b kl.</w:t>
            </w:r>
            <w:r w:rsidRPr="0092270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izprot mācību vielu valsts valodā un to lieto ikdienas mācību darbā.</w:t>
            </w:r>
          </w:p>
          <w:p w14:paraId="2E38F4C8" w14:textId="23BFFAFE" w:rsidR="006E442A" w:rsidRPr="006E442A" w:rsidRDefault="006E442A" w:rsidP="00377164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5A1375E5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5BD52A68" w:rsidR="00B22677" w:rsidRDefault="006E442A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Kompetenču pieejā balstīta mācību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stunda: skolēnam saprotami definēts sasniedzamais rezultāts, caurviju prasmes, jēgpilni mācību uzdevumi, pārbaudes darbi un efektīva atgriezeniskā saite, vērtēšana un pašvērtējums.</w:t>
            </w:r>
          </w:p>
        </w:tc>
        <w:tc>
          <w:tcPr>
            <w:tcW w:w="3520" w:type="dxa"/>
          </w:tcPr>
          <w:p w14:paraId="3B6659FD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 </w:t>
            </w:r>
            <w:r w:rsidR="006E442A" w:rsidRPr="006E4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</w:t>
            </w:r>
            <w:r w:rsidRPr="006E4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valitatīvi</w:t>
            </w:r>
            <w:r w:rsidR="006E44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-</w:t>
            </w:r>
          </w:p>
          <w:p w14:paraId="2EE49481" w14:textId="15EEA32E" w:rsidR="00FF4A7C" w:rsidRDefault="00A53FB5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Izglītojamie</w:t>
            </w:r>
            <w:r w:rsidR="00FF4A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pedagogi kopīgi nosaka sasniedzamos rezultātus katras tēmas sākumā un prot </w:t>
            </w:r>
            <w:proofErr w:type="spellStart"/>
            <w:r w:rsidR="00FF4A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refleksēt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FF4A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izmantojot E-klases aptaujas.</w:t>
            </w:r>
            <w:r w:rsidR="00FF4A7C" w:rsidRPr="00FF4A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0202216D" w14:textId="54D94979" w:rsidR="00FF4A7C" w:rsidRDefault="00FF4A7C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F4A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Kvantitatīvi-</w:t>
            </w:r>
          </w:p>
          <w:p w14:paraId="516C4275" w14:textId="47295987" w:rsidR="006E442A" w:rsidRPr="006E442A" w:rsidRDefault="00FF4A7C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Visi pedagogi ir sagatavoti pārejai uz jauno vērtēšanas sistēmu, </w:t>
            </w:r>
            <w:r w:rsidR="00A53F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vecāki izprot šīs sistēmas procesu.</w:t>
            </w:r>
          </w:p>
        </w:tc>
        <w:tc>
          <w:tcPr>
            <w:tcW w:w="2421" w:type="dxa"/>
          </w:tcPr>
          <w:p w14:paraId="413E6A6E" w14:textId="77777777" w:rsidR="00B22677" w:rsidRDefault="00B22677" w:rsidP="007A25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663AE00A" w:rsidR="00B22677" w:rsidRPr="00AD0126" w:rsidRDefault="00CA3A05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Tiek veikta uzskaite par absolventu tālāko izglītības turpināšanu. Tiek organizēti pasākumi ar skolas absolventu piedalīšanos.</w:t>
            </w: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5514F548" w:rsidR="00B22677" w:rsidRPr="008477FF" w:rsidRDefault="00B22677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1444270E" w:rsidR="00B22677" w:rsidRPr="008477FF" w:rsidRDefault="008E6B6C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Nepieciešamība </w:t>
            </w:r>
            <w:r w:rsidR="00A53FB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izglītojamos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vairāk informēt par darba un karjeras tendencēm, iepazīstināt ar karjeras iespējām. </w:t>
            </w:r>
          </w:p>
        </w:tc>
      </w:tr>
    </w:tbl>
    <w:p w14:paraId="0F2F6EE5" w14:textId="77777777" w:rsidR="00B22677" w:rsidRPr="00446618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444FD17F" w:rsidR="00B22677" w:rsidRPr="008477FF" w:rsidRDefault="00CA3A05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Visi pedagogi vērtēšanas kārtību ievēro, darbībā vienādi to izprot un pielieto līdzīgi visās klasēs. Ar vērtēšanas kārtību iepazīstināti visi </w:t>
            </w:r>
            <w:r w:rsidR="00A53FB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izglītojamie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viņu vecāki</w:t>
            </w:r>
          </w:p>
        </w:tc>
        <w:tc>
          <w:tcPr>
            <w:tcW w:w="4607" w:type="dxa"/>
          </w:tcPr>
          <w:p w14:paraId="4269FC44" w14:textId="5F55A4CC" w:rsidR="00B22677" w:rsidRPr="008477FF" w:rsidRDefault="00B22677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3CCDF8A1" w:rsidR="00B22677" w:rsidRPr="008477FF" w:rsidRDefault="00835E84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Pedagogi veido pozitīvas attiecības ar vecākiem, lai uzlabotu viņu bērnu mācīšanos.</w:t>
            </w:r>
          </w:p>
        </w:tc>
        <w:tc>
          <w:tcPr>
            <w:tcW w:w="4607" w:type="dxa"/>
          </w:tcPr>
          <w:p w14:paraId="3488216A" w14:textId="3A1F1FC5" w:rsidR="00B22677" w:rsidRPr="008477FF" w:rsidRDefault="00B22677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48966582" w:rsidR="00B22677" w:rsidRPr="008477FF" w:rsidRDefault="00B22677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6EFEBF38" w:rsidR="00B22677" w:rsidRPr="008477FF" w:rsidRDefault="00032E44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Mērķtiecīgas un dažādas atgriezeniskās saites veidošana mācību procesā.</w:t>
            </w: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E6E346A" w:rsidR="00B22677" w:rsidRPr="008477FF" w:rsidRDefault="00B22677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30EB724B" w:rsidR="00B22677" w:rsidRPr="008477FF" w:rsidRDefault="00E508C3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Mācību stundā pedagogiem definēt skaidrus un konkrētus sasniedzamos rezultātus un iesaist</w:t>
            </w:r>
            <w:r w:rsidR="00E1109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īt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A53FB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izglītojamos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sasniedzamā rezultāta izvirzīšanā.</w:t>
            </w: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DB48A84" w14:textId="77777777" w:rsidR="00A53FB5" w:rsidRDefault="00A53FB5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7C52AA" w14:textId="77777777" w:rsidR="00A53FB5" w:rsidRDefault="00A53FB5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434B5B" w14:textId="77777777" w:rsidR="00A53FB5" w:rsidRDefault="00A53FB5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B2928A" w14:textId="77777777" w:rsidR="00A53FB5" w:rsidRDefault="00A53FB5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538C795E" w:rsidR="00B22677" w:rsidRPr="00A53FB5" w:rsidRDefault="00B22677" w:rsidP="00A53FB5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53FB5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A53FB5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A53FB5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A53FB5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A53FB5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15092FDB" w:rsidR="00B22677" w:rsidRPr="008477FF" w:rsidRDefault="00032E44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Visi 9.klases </w:t>
            </w:r>
            <w:r w:rsidR="00A53FB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izglīto</w:t>
            </w:r>
            <w:r w:rsidR="00835E8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jamie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sekmīgi nokārtoja centralizētos eksāmenus un ieguva apliecību par pamatizglītību</w:t>
            </w:r>
          </w:p>
        </w:tc>
        <w:tc>
          <w:tcPr>
            <w:tcW w:w="4607" w:type="dxa"/>
          </w:tcPr>
          <w:p w14:paraId="3D942A1C" w14:textId="45F1D8B7" w:rsidR="00B22677" w:rsidRPr="008477FF" w:rsidRDefault="00A62A55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Organizēt vecāku sapulces, kurās vecāki tiek informēti par pāreju uz mācībām valsts valodā.</w:t>
            </w: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64F6372C" w:rsidR="00B22677" w:rsidRPr="00A62A55" w:rsidRDefault="00032E44" w:rsidP="00A62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Skolā ir izstrādāts audzināšanas plāns trim gadiem. Skolas pasākumi tiek organizēti atbilstoši audzināšanas prioritātēm</w:t>
            </w:r>
          </w:p>
        </w:tc>
        <w:tc>
          <w:tcPr>
            <w:tcW w:w="4607" w:type="dxa"/>
          </w:tcPr>
          <w:p w14:paraId="3661EFDB" w14:textId="5FCCD0CE" w:rsidR="00B22677" w:rsidRPr="008477FF" w:rsidRDefault="00206D03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Organizēt pedagogiem profesionālās pilnveides kursus pārejai uz mācībām valsts valodā. </w:t>
            </w: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342C22EB" w:rsidR="00B22677" w:rsidRPr="008477FF" w:rsidRDefault="00B22677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4815A61B" w:rsidR="00B22677" w:rsidRPr="008477FF" w:rsidRDefault="00A62A55" w:rsidP="002045E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Skolas pasākumu organizēšanā iesaistīt skolas absolventus un skolēnu vecākus.</w:t>
            </w:r>
          </w:p>
        </w:tc>
      </w:tr>
    </w:tbl>
    <w:p w14:paraId="0323A477" w14:textId="77777777" w:rsidR="00B22677" w:rsidRPr="00E45E82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DEDA67D" w14:textId="4C3642E7" w:rsidR="00206D03" w:rsidRPr="00206D03" w:rsidRDefault="00206D03" w:rsidP="007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Pr="00206D03">
        <w:rPr>
          <w:rFonts w:ascii="Times New Roman" w:hAnsi="Times New Roman" w:cs="Times New Roman"/>
          <w:sz w:val="24"/>
          <w:szCs w:val="24"/>
          <w:lang w:val="lv-LV"/>
        </w:rPr>
        <w:t xml:space="preserve">Skola turpina dalību Eiropas Sociālā fonda projektā Nr.8.3.2.2/16/I/001“Atbalsts izglītojamo individuālo kompetenču attīstībai” (mērķis: nodrošināt Latvijas izglītības pakalpojumu daudzveidību, kas balstīti uz individuālās mācību pieejas attīstību un ieviešanu vispārējās izglītības iestādēs, tādējādi uzlabojot izglītojamo kompetences un mācību sasniegumus). </w:t>
      </w:r>
    </w:p>
    <w:p w14:paraId="59781D47" w14:textId="2F709425" w:rsidR="00206D03" w:rsidRDefault="00206D03" w:rsidP="007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06D03">
        <w:rPr>
          <w:rFonts w:ascii="Times New Roman" w:hAnsi="Times New Roman" w:cs="Times New Roman"/>
          <w:sz w:val="24"/>
          <w:szCs w:val="24"/>
          <w:lang w:val="lv-LV"/>
        </w:rPr>
        <w:t xml:space="preserve">Projekta ietvaros tika nodrošināts papildus pedagoģiskais atbalsts </w:t>
      </w:r>
      <w:r w:rsidR="00A53FB5">
        <w:rPr>
          <w:rFonts w:ascii="Times New Roman" w:hAnsi="Times New Roman" w:cs="Times New Roman"/>
          <w:sz w:val="24"/>
          <w:szCs w:val="24"/>
          <w:lang w:val="lv-LV"/>
        </w:rPr>
        <w:t>izglītojamajiem</w:t>
      </w:r>
      <w:r w:rsidRPr="00206D03">
        <w:rPr>
          <w:rFonts w:ascii="Times New Roman" w:hAnsi="Times New Roman" w:cs="Times New Roman"/>
          <w:sz w:val="24"/>
          <w:szCs w:val="24"/>
          <w:lang w:val="lv-LV"/>
        </w:rPr>
        <w:t xml:space="preserve"> ar mācīšanās traucējumiem un mācību grūtībām, kas uzlaboja </w:t>
      </w:r>
      <w:r w:rsidR="00A53FB5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Pr="00206D03">
        <w:rPr>
          <w:rFonts w:ascii="Times New Roman" w:hAnsi="Times New Roman" w:cs="Times New Roman"/>
          <w:sz w:val="24"/>
          <w:szCs w:val="24"/>
          <w:lang w:val="lv-LV"/>
        </w:rPr>
        <w:t xml:space="preserve"> vispārējos mācīšanās sasniegumus, kā arī ir veicināts darbs atbalsta sniegšanai </w:t>
      </w:r>
      <w:r w:rsidR="00A53FB5">
        <w:rPr>
          <w:rFonts w:ascii="Times New Roman" w:hAnsi="Times New Roman" w:cs="Times New Roman"/>
          <w:sz w:val="24"/>
          <w:szCs w:val="24"/>
          <w:lang w:val="lv-LV"/>
        </w:rPr>
        <w:t>izglītojamajiem</w:t>
      </w:r>
      <w:r w:rsidRPr="00206D03">
        <w:rPr>
          <w:rFonts w:ascii="Times New Roman" w:hAnsi="Times New Roman" w:cs="Times New Roman"/>
          <w:sz w:val="24"/>
          <w:szCs w:val="24"/>
          <w:lang w:val="lv-LV"/>
        </w:rPr>
        <w:t xml:space="preserve"> ar augstiem mācību sasniegumiem STEM jomā.</w:t>
      </w:r>
    </w:p>
    <w:p w14:paraId="2A2F539B" w14:textId="77777777" w:rsidR="00206D03" w:rsidRDefault="00206D03" w:rsidP="007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EC01089" w14:textId="77777777" w:rsidR="00206D03" w:rsidRPr="00206D03" w:rsidRDefault="00206D03" w:rsidP="00206D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0F2079AA" w:rsidR="00B22677" w:rsidRDefault="00B22677" w:rsidP="00B226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2E7778A" w14:textId="68F8F5DA" w:rsidR="00B22677" w:rsidRPr="00206D03" w:rsidRDefault="00206D03" w:rsidP="00206D0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06D03">
        <w:rPr>
          <w:rFonts w:ascii="Times New Roman" w:hAnsi="Times New Roman" w:cs="Times New Roman"/>
          <w:sz w:val="24"/>
          <w:szCs w:val="24"/>
          <w:lang w:val="lv-LV"/>
        </w:rPr>
        <w:t>Šādi sadarbības līgumi ar institūcijām nav noslēgti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DAD1DC5" w14:textId="77777777" w:rsidR="00A80BE8" w:rsidRPr="00A80BE8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A80BE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8868" w:type="dxa"/>
        <w:tblInd w:w="-5" w:type="dxa"/>
        <w:tblLook w:val="04A0" w:firstRow="1" w:lastRow="0" w:firstColumn="1" w:lastColumn="0" w:noHBand="0" w:noVBand="1"/>
      </w:tblPr>
      <w:tblGrid>
        <w:gridCol w:w="3969"/>
        <w:gridCol w:w="4899"/>
      </w:tblGrid>
      <w:tr w:rsidR="00A80BE8" w:rsidRPr="009F5A93" w14:paraId="68B22CC4" w14:textId="77777777" w:rsidTr="00A80BE8">
        <w:trPr>
          <w:trHeight w:val="1004"/>
        </w:trPr>
        <w:tc>
          <w:tcPr>
            <w:tcW w:w="3969" w:type="dxa"/>
          </w:tcPr>
          <w:p w14:paraId="34AD4E3A" w14:textId="77777777" w:rsidR="00A80BE8" w:rsidRDefault="00A80BE8" w:rsidP="008E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EDBB" w14:textId="779ED152" w:rsidR="00A80BE8" w:rsidRPr="00A80BE8" w:rsidRDefault="00A80BE8" w:rsidP="00A8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8">
              <w:rPr>
                <w:rFonts w:ascii="Times New Roman" w:hAnsi="Times New Roman" w:cs="Times New Roman"/>
                <w:sz w:val="24"/>
                <w:szCs w:val="24"/>
              </w:rPr>
              <w:t>2020./2021. m. g.</w:t>
            </w:r>
          </w:p>
        </w:tc>
        <w:tc>
          <w:tcPr>
            <w:tcW w:w="4899" w:type="dxa"/>
          </w:tcPr>
          <w:p w14:paraId="32BBC646" w14:textId="0AF08D54" w:rsidR="00A80BE8" w:rsidRPr="00A80BE8" w:rsidRDefault="00A80BE8" w:rsidP="008E4404">
            <w:pP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80BE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Nodrošināt iespēju klātienē izzināt un iepazīt Latvijas vērtības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</w:t>
            </w:r>
            <w:r w:rsidRPr="00A80BE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spēcinot piederības sajūtu un valstisko identitāti.</w:t>
            </w:r>
          </w:p>
        </w:tc>
      </w:tr>
      <w:tr w:rsidR="00A80BE8" w:rsidRPr="009F5A93" w14:paraId="452B0BA5" w14:textId="77777777" w:rsidTr="00A80BE8">
        <w:tc>
          <w:tcPr>
            <w:tcW w:w="3969" w:type="dxa"/>
          </w:tcPr>
          <w:p w14:paraId="166C4408" w14:textId="77777777" w:rsidR="00A80BE8" w:rsidRPr="00A80BE8" w:rsidRDefault="00A80BE8" w:rsidP="008E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8">
              <w:rPr>
                <w:rFonts w:ascii="Times New Roman" w:hAnsi="Times New Roman" w:cs="Times New Roman"/>
                <w:sz w:val="24"/>
                <w:szCs w:val="24"/>
              </w:rPr>
              <w:t>2021./2022. m. g.</w:t>
            </w:r>
          </w:p>
        </w:tc>
        <w:tc>
          <w:tcPr>
            <w:tcW w:w="4899" w:type="dxa"/>
          </w:tcPr>
          <w:p w14:paraId="527A9ECD" w14:textId="2C162430" w:rsidR="00A80BE8" w:rsidRPr="00A80BE8" w:rsidRDefault="00A80BE8" w:rsidP="008E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E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Sekmēt sociālās sadarbības un līdzdarbības prasmes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A80BE8" w:rsidRPr="009F5A93" w14:paraId="7EDB6979" w14:textId="77777777" w:rsidTr="00A80BE8">
        <w:tc>
          <w:tcPr>
            <w:tcW w:w="3969" w:type="dxa"/>
          </w:tcPr>
          <w:p w14:paraId="1F6A855F" w14:textId="77777777" w:rsidR="00A80BE8" w:rsidRPr="00A80BE8" w:rsidRDefault="00A80BE8" w:rsidP="008E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8">
              <w:rPr>
                <w:rFonts w:ascii="Times New Roman" w:hAnsi="Times New Roman" w:cs="Times New Roman"/>
                <w:sz w:val="24"/>
                <w:szCs w:val="24"/>
              </w:rPr>
              <w:t>2022./2023. m. g.</w:t>
            </w:r>
          </w:p>
        </w:tc>
        <w:tc>
          <w:tcPr>
            <w:tcW w:w="4899" w:type="dxa"/>
          </w:tcPr>
          <w:p w14:paraId="2AED8F8A" w14:textId="77777777" w:rsidR="00A80BE8" w:rsidRPr="00A80BE8" w:rsidRDefault="00A80BE8" w:rsidP="00A80BE8">
            <w:pP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80BE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Skolēnu pašpārvaldes darbības un skolas tradīciju stiprināšana, nodrošinot </w:t>
            </w:r>
          </w:p>
          <w:p w14:paraId="548B4B7A" w14:textId="271A82B6" w:rsidR="00A80BE8" w:rsidRPr="00A80BE8" w:rsidRDefault="00A80BE8" w:rsidP="008E4404">
            <w:pP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80BE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ikvienam skolēnam līdzdalības iespējas.</w:t>
            </w:r>
          </w:p>
        </w:tc>
      </w:tr>
    </w:tbl>
    <w:p w14:paraId="28D86C70" w14:textId="65B0E0CE" w:rsidR="00B22677" w:rsidRPr="00A80BE8" w:rsidRDefault="00B22677" w:rsidP="00A80BE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467A6B28" w14:textId="32B006CC" w:rsidR="00B22677" w:rsidRDefault="00B22677" w:rsidP="008555A8">
      <w:pPr>
        <w:pStyle w:val="ListParagraph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A80BE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635A29D" w14:textId="57858A12" w:rsidR="00A80BE8" w:rsidRPr="00A80BE8" w:rsidRDefault="00A80BE8" w:rsidP="00A80BE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A80BE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2022./2023. mācību gadā skolā aktīvi darbojās skolēnu pašpārvalde. Skolēnu padome organizēja un piedalījās skolas pasākumu organizēšanā. Skolā tika organizēts Lāčplēša dienas pasākums, iedegtas svecītes skolas logos un skolas pagalmā, 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80BE8">
        <w:rPr>
          <w:rFonts w:ascii="Times New Roman" w:hAnsi="Times New Roman" w:cs="Times New Roman"/>
          <w:sz w:val="24"/>
          <w:szCs w:val="24"/>
          <w:lang w:val="lv-LV"/>
        </w:rPr>
        <w:t>kolēnu padomes pārstāvji vadīja Latvijas proklamēšanas dienai veltīto pasākumu, organizēja Barikāžu dienu, kopā ar Ukrainas biedrības pārstāvjiem lēja ierakumu sveces, organizēja Volejbola sacensības, Baltā galdauta svētkus.  Aktīvākie skolēni piedal</w:t>
      </w:r>
      <w:r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A80BE8">
        <w:rPr>
          <w:rFonts w:ascii="Times New Roman" w:hAnsi="Times New Roman" w:cs="Times New Roman"/>
          <w:sz w:val="24"/>
          <w:szCs w:val="24"/>
          <w:lang w:val="lv-LV"/>
        </w:rPr>
        <w:t xml:space="preserve">jās Jelgavas novada </w:t>
      </w:r>
      <w:r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A80BE8">
        <w:rPr>
          <w:rFonts w:ascii="Times New Roman" w:hAnsi="Times New Roman" w:cs="Times New Roman"/>
          <w:sz w:val="24"/>
          <w:szCs w:val="24"/>
          <w:lang w:val="lv-LV"/>
        </w:rPr>
        <w:t>auniešu domes aktivitātēs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056762B" w14:textId="42AC3CF9" w:rsidR="00A80BE8" w:rsidRPr="00A80BE8" w:rsidRDefault="00A80BE8" w:rsidP="00A80BE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A80BE8">
        <w:rPr>
          <w:rFonts w:ascii="Times New Roman" w:hAnsi="Times New Roman" w:cs="Times New Roman"/>
          <w:sz w:val="24"/>
          <w:szCs w:val="24"/>
          <w:lang w:val="lv-LV"/>
        </w:rPr>
        <w:t xml:space="preserve">Ikvienam skolēnam tika nodrošinātas līdzdalības iespējas </w:t>
      </w:r>
      <w:proofErr w:type="spellStart"/>
      <w:r w:rsidRPr="00A80BE8">
        <w:rPr>
          <w:rFonts w:ascii="Times New Roman" w:hAnsi="Times New Roman" w:cs="Times New Roman"/>
          <w:sz w:val="24"/>
          <w:szCs w:val="24"/>
          <w:lang w:val="lv-LV"/>
        </w:rPr>
        <w:t>ārpusstundu</w:t>
      </w:r>
      <w:proofErr w:type="spellEnd"/>
      <w:r w:rsidRPr="00A80BE8">
        <w:rPr>
          <w:rFonts w:ascii="Times New Roman" w:hAnsi="Times New Roman" w:cs="Times New Roman"/>
          <w:sz w:val="24"/>
          <w:szCs w:val="24"/>
          <w:lang w:val="lv-LV"/>
        </w:rPr>
        <w:t xml:space="preserve"> pasākumos, radošajās izstādēs, sporta aktivitātēs.</w:t>
      </w:r>
    </w:p>
    <w:p w14:paraId="616DC288" w14:textId="77777777" w:rsidR="00B22677" w:rsidRDefault="00B22677" w:rsidP="00B22677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7A25D2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43B1065" w14:textId="359B952A" w:rsidR="00A80BE8" w:rsidRDefault="00A80BE8" w:rsidP="007A25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novada latviešu valodas olimpiādē 4.klasēm iegūta 2.vieta, 2.posma bioloģijas olimpiādē 9.klasēm iegūta 3.vieta. </w:t>
      </w:r>
    </w:p>
    <w:p w14:paraId="774BB6AA" w14:textId="77777777" w:rsidR="00B22677" w:rsidRDefault="00B22677" w:rsidP="007A25D2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EAB963D" w14:textId="0017294D" w:rsidR="00B22677" w:rsidRDefault="00B22677" w:rsidP="007A25D2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pēc izglītojamo snieguma </w:t>
      </w:r>
      <w:proofErr w:type="spellStart"/>
      <w:r w:rsidRPr="00077DCB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valsts pārbaudes darbos par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 mācību gadu;</w:t>
      </w:r>
    </w:p>
    <w:p w14:paraId="205F38EA" w14:textId="47108662" w:rsidR="00C10B9D" w:rsidRDefault="00C10B9D" w:rsidP="007A25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Visi 9.klašu </w:t>
      </w:r>
      <w:r w:rsidR="005E28B3">
        <w:rPr>
          <w:rFonts w:ascii="Times New Roman" w:hAnsi="Times New Roman" w:cs="Times New Roman"/>
          <w:sz w:val="24"/>
          <w:szCs w:val="24"/>
          <w:lang w:val="lv-LV"/>
        </w:rPr>
        <w:t>izglītojamie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ieguva apliecību par pamatizglītību. </w:t>
      </w:r>
    </w:p>
    <w:p w14:paraId="574CD494" w14:textId="77777777" w:rsidR="00E47698" w:rsidRPr="00E47698" w:rsidRDefault="00C10B9D" w:rsidP="007A25D2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klašu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rezultāti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centralizētajos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eksāmenos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zemāki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valsts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vidējie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rādītāji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matemātikā</w:t>
      </w:r>
      <w:proofErr w:type="spellEnd"/>
      <w:r>
        <w:rPr>
          <w:rFonts w:ascii="Times New Roman" w:hAnsi="Times New Roman"/>
          <w:sz w:val="24"/>
          <w:szCs w:val="24"/>
        </w:rPr>
        <w:t xml:space="preserve"> 41,9% (-9,1%), </w:t>
      </w:r>
      <w:proofErr w:type="spellStart"/>
      <w:r>
        <w:rPr>
          <w:rFonts w:ascii="Times New Roman" w:hAnsi="Times New Roman"/>
          <w:sz w:val="24"/>
          <w:szCs w:val="24"/>
        </w:rPr>
        <w:t>latviešu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valodā</w:t>
      </w:r>
      <w:proofErr w:type="spellEnd"/>
      <w:r>
        <w:rPr>
          <w:rFonts w:ascii="Times New Roman" w:hAnsi="Times New Roman"/>
          <w:sz w:val="24"/>
          <w:szCs w:val="24"/>
        </w:rPr>
        <w:t xml:space="preserve"> 51,3% (-6,7%), </w:t>
      </w:r>
      <w:proofErr w:type="spellStart"/>
      <w:r>
        <w:rPr>
          <w:rFonts w:ascii="Times New Roman" w:hAnsi="Times New Roman"/>
          <w:sz w:val="24"/>
          <w:szCs w:val="24"/>
        </w:rPr>
        <w:t>angļu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valodā</w:t>
      </w:r>
      <w:proofErr w:type="spellEnd"/>
      <w:r>
        <w:rPr>
          <w:rFonts w:ascii="Times New Roman" w:hAnsi="Times New Roman"/>
          <w:sz w:val="24"/>
          <w:szCs w:val="24"/>
        </w:rPr>
        <w:t xml:space="preserve"> 49,4% (-16,6%).</w:t>
      </w:r>
      <w:r w:rsidR="005E28B3">
        <w:rPr>
          <w:rFonts w:ascii="Times New Roman" w:hAnsi="Times New Roman"/>
          <w:sz w:val="24"/>
          <w:szCs w:val="24"/>
        </w:rPr>
        <w:t xml:space="preserve"> </w:t>
      </w:r>
      <w:r w:rsidR="00E47698">
        <w:rPr>
          <w:rFonts w:ascii="Times New Roman" w:hAnsi="Times New Roman"/>
          <w:sz w:val="24"/>
          <w:szCs w:val="24"/>
        </w:rPr>
        <w:t xml:space="preserve"> </w:t>
      </w:r>
      <w:r w:rsidR="00E47698" w:rsidRPr="00E47698">
        <w:rPr>
          <w:rFonts w:ascii="Times New Roman" w:hAnsi="Times New Roman"/>
          <w:sz w:val="24"/>
          <w:szCs w:val="24"/>
          <w:lang w:val="lv-LV"/>
        </w:rPr>
        <w:t xml:space="preserve">Turpmākajā darbā visos mācību priekšmetos jāturpina diferencēt darbu pēc izglītojamo spēju līmeņiem, jānostiprina </w:t>
      </w:r>
      <w:proofErr w:type="spellStart"/>
      <w:r w:rsidR="00E47698" w:rsidRPr="00E47698">
        <w:rPr>
          <w:rFonts w:ascii="Times New Roman" w:hAnsi="Times New Roman"/>
          <w:sz w:val="24"/>
          <w:szCs w:val="24"/>
          <w:lang w:val="lv-LV"/>
        </w:rPr>
        <w:t>tekstpratības</w:t>
      </w:r>
      <w:proofErr w:type="spellEnd"/>
      <w:r w:rsidR="00E47698" w:rsidRPr="00E47698">
        <w:rPr>
          <w:rFonts w:ascii="Times New Roman" w:hAnsi="Times New Roman"/>
          <w:sz w:val="24"/>
          <w:szCs w:val="24"/>
          <w:lang w:val="lv-LV"/>
        </w:rPr>
        <w:t>, spriedumu veidošanas un kritiskās domāšanas prasmes. Matemātikas stundās vairāk jāstrādā ar uzdevumiem, kas saistīti ar reālo dzīvi un risināt uzdevumus, piedāvājot nestandarta situācijas.</w:t>
      </w:r>
    </w:p>
    <w:p w14:paraId="3EB17707" w14:textId="39840B9B" w:rsidR="00C10B9D" w:rsidRDefault="00C10B9D" w:rsidP="007A25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A71183" w14:textId="77777777" w:rsidR="00D11C1B" w:rsidRDefault="00B22677" w:rsidP="007A25D2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B6EB9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  <w:r w:rsidR="007B6EB9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73926594" w14:textId="791F6C3D" w:rsidR="007B6EB9" w:rsidRDefault="00D11C1B" w:rsidP="007A25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2022./2023. mācību gadā izglītojamo mācību sasniegumi valsts pārbaudes darbos ir zemāki par iepriekšējo gadu sasniegumiem, bet salīdzināt nebūtu korekti, jo ir mainījies eksāmena formāts un saturs.</w:t>
      </w:r>
      <w:r w:rsidR="007B6E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7AA5117" w14:textId="77777777" w:rsidR="007B6EB9" w:rsidRPr="007B6EB9" w:rsidRDefault="007B6EB9" w:rsidP="007A25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F5F789" w14:textId="77777777" w:rsidR="00B22677" w:rsidRDefault="00B22677" w:rsidP="007A25D2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0BEDB932" w14:textId="64466B45" w:rsidR="00D11C1B" w:rsidRDefault="00D11C1B" w:rsidP="007A25D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Ikdienas mācību sasniegumi pārsvarā</w:t>
      </w:r>
      <w:r w:rsidR="00BD1237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optimālajā līmeni;</w:t>
      </w:r>
    </w:p>
    <w:p w14:paraId="72AD50E7" w14:textId="0478BF70" w:rsidR="00D11C1B" w:rsidRDefault="00D11C1B" w:rsidP="007A25D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 izglītojamie mācību gadu beidza ar augstiem mācību sasniegumiem;</w:t>
      </w:r>
    </w:p>
    <w:p w14:paraId="7F5270CC" w14:textId="28858772" w:rsidR="00D11C1B" w:rsidRDefault="00D11C1B" w:rsidP="007A25D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2022./2023.m.g. pieaudzis </w:t>
      </w:r>
      <w:r w:rsidR="003924AC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skaits ar nepietiekamajiem vērtējumiem</w:t>
      </w:r>
      <w:r w:rsidR="003924AC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E7DF0A9" w14:textId="288ED455" w:rsidR="000E16D2" w:rsidRDefault="000E16D2" w:rsidP="007A25D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samazinās izglītojamo skaits, kuriem</w:t>
      </w:r>
      <w:r w:rsidR="002C6497">
        <w:rPr>
          <w:rFonts w:ascii="Times New Roman" w:hAnsi="Times New Roman" w:cs="Times New Roman"/>
          <w:sz w:val="24"/>
          <w:szCs w:val="24"/>
          <w:lang w:val="lv-LV"/>
        </w:rPr>
        <w:t xml:space="preserve"> ikdienas mācību darbā nav </w:t>
      </w:r>
      <w:r>
        <w:rPr>
          <w:rFonts w:ascii="Times New Roman" w:hAnsi="Times New Roman" w:cs="Times New Roman"/>
          <w:sz w:val="24"/>
          <w:szCs w:val="24"/>
          <w:lang w:val="lv-LV"/>
        </w:rPr>
        <w:t>vērtējumu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nv</w:t>
      </w:r>
      <w:proofErr w:type="spellEnd"/>
      <w:r w:rsidR="002C6497">
        <w:rPr>
          <w:rFonts w:ascii="Times New Roman" w:hAnsi="Times New Roman" w:cs="Times New Roman"/>
          <w:sz w:val="24"/>
          <w:szCs w:val="24"/>
          <w:lang w:val="lv-LV"/>
        </w:rPr>
        <w:t>);</w:t>
      </w:r>
    </w:p>
    <w:p w14:paraId="24FFC657" w14:textId="725DD0E5" w:rsidR="00041977" w:rsidRDefault="000E16D2" w:rsidP="00781A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1977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C03D6C" w:rsidRPr="00041977">
        <w:rPr>
          <w:rFonts w:ascii="Times New Roman" w:hAnsi="Times New Roman" w:cs="Times New Roman"/>
          <w:sz w:val="24"/>
          <w:szCs w:val="24"/>
          <w:lang w:val="lv-LV"/>
        </w:rPr>
        <w:t xml:space="preserve">isaugstākie mācību sasniegumi </w:t>
      </w:r>
      <w:r w:rsidR="00BD1237" w:rsidRPr="00041977">
        <w:rPr>
          <w:rFonts w:ascii="Times New Roman" w:hAnsi="Times New Roman" w:cs="Times New Roman"/>
          <w:sz w:val="24"/>
          <w:szCs w:val="24"/>
          <w:lang w:val="lv-LV"/>
        </w:rPr>
        <w:t xml:space="preserve">ikdienas mācībās </w:t>
      </w:r>
      <w:r w:rsidR="00C03D6C" w:rsidRPr="00041977">
        <w:rPr>
          <w:rFonts w:ascii="Times New Roman" w:hAnsi="Times New Roman" w:cs="Times New Roman"/>
          <w:sz w:val="24"/>
          <w:szCs w:val="24"/>
          <w:lang w:val="lv-LV"/>
        </w:rPr>
        <w:t>izglītojamajiem ir sociālajās zinībās</w:t>
      </w:r>
      <w:r w:rsidR="008C40D8" w:rsidRPr="00041977">
        <w:rPr>
          <w:rFonts w:ascii="Times New Roman" w:hAnsi="Times New Roman" w:cs="Times New Roman"/>
          <w:sz w:val="24"/>
          <w:szCs w:val="24"/>
          <w:lang w:val="lv-LV"/>
        </w:rPr>
        <w:t>, datorikā</w:t>
      </w:r>
      <w:r w:rsidR="00C03D6C" w:rsidRPr="00041977">
        <w:rPr>
          <w:rFonts w:ascii="Times New Roman" w:hAnsi="Times New Roman" w:cs="Times New Roman"/>
          <w:sz w:val="24"/>
          <w:szCs w:val="24"/>
          <w:lang w:val="lv-LV"/>
        </w:rPr>
        <w:t xml:space="preserve"> un vizuālajā mākslā</w:t>
      </w:r>
      <w:bookmarkEnd w:id="0"/>
      <w:r w:rsidR="007A25D2" w:rsidRPr="0004197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423D94E" w14:textId="3E543F68" w:rsidR="00041977" w:rsidRDefault="00041977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0419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963D" w14:textId="77777777" w:rsidR="005F329C" w:rsidRDefault="005F329C" w:rsidP="00F254C5">
      <w:pPr>
        <w:spacing w:after="0" w:line="240" w:lineRule="auto"/>
      </w:pPr>
      <w:r>
        <w:separator/>
      </w:r>
    </w:p>
  </w:endnote>
  <w:endnote w:type="continuationSeparator" w:id="0">
    <w:p w14:paraId="33DE720E" w14:textId="77777777" w:rsidR="005F329C" w:rsidRDefault="005F329C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252E" w14:textId="77777777" w:rsidR="005F329C" w:rsidRDefault="005F329C" w:rsidP="00F254C5">
      <w:pPr>
        <w:spacing w:after="0" w:line="240" w:lineRule="auto"/>
      </w:pPr>
      <w:r>
        <w:separator/>
      </w:r>
    </w:p>
  </w:footnote>
  <w:footnote w:type="continuationSeparator" w:id="0">
    <w:p w14:paraId="2BC51893" w14:textId="77777777" w:rsidR="005F329C" w:rsidRDefault="005F329C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0CBD"/>
    <w:multiLevelType w:val="hybridMultilevel"/>
    <w:tmpl w:val="182CA8E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700E"/>
    <w:multiLevelType w:val="hybridMultilevel"/>
    <w:tmpl w:val="E612018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1"/>
  </w:num>
  <w:num w:numId="2" w16cid:durableId="1412652991">
    <w:abstractNumId w:val="22"/>
  </w:num>
  <w:num w:numId="3" w16cid:durableId="457988960">
    <w:abstractNumId w:val="23"/>
  </w:num>
  <w:num w:numId="4" w16cid:durableId="231697273">
    <w:abstractNumId w:val="13"/>
  </w:num>
  <w:num w:numId="5" w16cid:durableId="322126936">
    <w:abstractNumId w:val="21"/>
  </w:num>
  <w:num w:numId="6" w16cid:durableId="1175999247">
    <w:abstractNumId w:val="11"/>
  </w:num>
  <w:num w:numId="7" w16cid:durableId="1396126296">
    <w:abstractNumId w:val="0"/>
  </w:num>
  <w:num w:numId="8" w16cid:durableId="1067846360">
    <w:abstractNumId w:val="15"/>
  </w:num>
  <w:num w:numId="9" w16cid:durableId="1797092412">
    <w:abstractNumId w:val="18"/>
  </w:num>
  <w:num w:numId="10" w16cid:durableId="1499224137">
    <w:abstractNumId w:val="14"/>
  </w:num>
  <w:num w:numId="11" w16cid:durableId="1028291579">
    <w:abstractNumId w:val="16"/>
  </w:num>
  <w:num w:numId="12" w16cid:durableId="667709278">
    <w:abstractNumId w:val="12"/>
  </w:num>
  <w:num w:numId="13" w16cid:durableId="1034113373">
    <w:abstractNumId w:val="7"/>
  </w:num>
  <w:num w:numId="14" w16cid:durableId="1292328440">
    <w:abstractNumId w:val="5"/>
  </w:num>
  <w:num w:numId="15" w16cid:durableId="1552037006">
    <w:abstractNumId w:val="17"/>
  </w:num>
  <w:num w:numId="16" w16cid:durableId="117914865">
    <w:abstractNumId w:val="6"/>
  </w:num>
  <w:num w:numId="17" w16cid:durableId="245575712">
    <w:abstractNumId w:val="2"/>
  </w:num>
  <w:num w:numId="18" w16cid:durableId="18775737">
    <w:abstractNumId w:val="3"/>
  </w:num>
  <w:num w:numId="19" w16cid:durableId="1533808875">
    <w:abstractNumId w:val="9"/>
  </w:num>
  <w:num w:numId="20" w16cid:durableId="723020206">
    <w:abstractNumId w:val="20"/>
  </w:num>
  <w:num w:numId="21" w16cid:durableId="213084513">
    <w:abstractNumId w:val="8"/>
  </w:num>
  <w:num w:numId="22" w16cid:durableId="76051010">
    <w:abstractNumId w:val="10"/>
  </w:num>
  <w:num w:numId="23" w16cid:durableId="65611937">
    <w:abstractNumId w:val="19"/>
  </w:num>
  <w:num w:numId="24" w16cid:durableId="2028746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11986"/>
    <w:rsid w:val="00012B0C"/>
    <w:rsid w:val="00014297"/>
    <w:rsid w:val="00022282"/>
    <w:rsid w:val="000224AA"/>
    <w:rsid w:val="00025C06"/>
    <w:rsid w:val="00032E44"/>
    <w:rsid w:val="000363D4"/>
    <w:rsid w:val="00041977"/>
    <w:rsid w:val="00047DE2"/>
    <w:rsid w:val="000533D4"/>
    <w:rsid w:val="00074AA8"/>
    <w:rsid w:val="000876F6"/>
    <w:rsid w:val="000A4BFC"/>
    <w:rsid w:val="000C6983"/>
    <w:rsid w:val="000E07C5"/>
    <w:rsid w:val="000E16D2"/>
    <w:rsid w:val="000E2EE9"/>
    <w:rsid w:val="00101D96"/>
    <w:rsid w:val="00102CB2"/>
    <w:rsid w:val="001453C5"/>
    <w:rsid w:val="001511FD"/>
    <w:rsid w:val="00164D99"/>
    <w:rsid w:val="00194527"/>
    <w:rsid w:val="001A1E43"/>
    <w:rsid w:val="001A2553"/>
    <w:rsid w:val="001A32AA"/>
    <w:rsid w:val="001B317B"/>
    <w:rsid w:val="001B7CE7"/>
    <w:rsid w:val="001C6DD2"/>
    <w:rsid w:val="001C7978"/>
    <w:rsid w:val="001F1C07"/>
    <w:rsid w:val="001F51A2"/>
    <w:rsid w:val="002021C3"/>
    <w:rsid w:val="00206D03"/>
    <w:rsid w:val="002109E6"/>
    <w:rsid w:val="00216702"/>
    <w:rsid w:val="002213B6"/>
    <w:rsid w:val="00225AB5"/>
    <w:rsid w:val="002446D1"/>
    <w:rsid w:val="002743B6"/>
    <w:rsid w:val="00284E9E"/>
    <w:rsid w:val="002926AC"/>
    <w:rsid w:val="00293CB6"/>
    <w:rsid w:val="002A2CCD"/>
    <w:rsid w:val="002A5EBD"/>
    <w:rsid w:val="002A7A4B"/>
    <w:rsid w:val="002B7F49"/>
    <w:rsid w:val="002C03FB"/>
    <w:rsid w:val="002C21A5"/>
    <w:rsid w:val="002C6497"/>
    <w:rsid w:val="002E64D4"/>
    <w:rsid w:val="002F0E66"/>
    <w:rsid w:val="002F2DC6"/>
    <w:rsid w:val="002F4905"/>
    <w:rsid w:val="002F7014"/>
    <w:rsid w:val="003015FA"/>
    <w:rsid w:val="0030589B"/>
    <w:rsid w:val="00310AE3"/>
    <w:rsid w:val="00314543"/>
    <w:rsid w:val="00314761"/>
    <w:rsid w:val="00333027"/>
    <w:rsid w:val="003406B9"/>
    <w:rsid w:val="00360A13"/>
    <w:rsid w:val="003630B9"/>
    <w:rsid w:val="003634C3"/>
    <w:rsid w:val="00375599"/>
    <w:rsid w:val="00377164"/>
    <w:rsid w:val="003924AC"/>
    <w:rsid w:val="00396367"/>
    <w:rsid w:val="003A49CC"/>
    <w:rsid w:val="003A6675"/>
    <w:rsid w:val="003B1A7B"/>
    <w:rsid w:val="003D28D3"/>
    <w:rsid w:val="003E4EE2"/>
    <w:rsid w:val="0040691D"/>
    <w:rsid w:val="00424E33"/>
    <w:rsid w:val="00434DDC"/>
    <w:rsid w:val="00435946"/>
    <w:rsid w:val="00461553"/>
    <w:rsid w:val="00467467"/>
    <w:rsid w:val="00477063"/>
    <w:rsid w:val="004A10F4"/>
    <w:rsid w:val="004C7FC3"/>
    <w:rsid w:val="004E074C"/>
    <w:rsid w:val="004F4204"/>
    <w:rsid w:val="004F4A10"/>
    <w:rsid w:val="005009AE"/>
    <w:rsid w:val="005119B8"/>
    <w:rsid w:val="005138BF"/>
    <w:rsid w:val="00515559"/>
    <w:rsid w:val="00521AFC"/>
    <w:rsid w:val="00523734"/>
    <w:rsid w:val="00524653"/>
    <w:rsid w:val="005354A3"/>
    <w:rsid w:val="00535A00"/>
    <w:rsid w:val="00550906"/>
    <w:rsid w:val="00583518"/>
    <w:rsid w:val="00584436"/>
    <w:rsid w:val="005A517D"/>
    <w:rsid w:val="005A5DB0"/>
    <w:rsid w:val="005B008E"/>
    <w:rsid w:val="005B7825"/>
    <w:rsid w:val="005C1A86"/>
    <w:rsid w:val="005E28B3"/>
    <w:rsid w:val="005E2CD1"/>
    <w:rsid w:val="005F329C"/>
    <w:rsid w:val="00615DF8"/>
    <w:rsid w:val="006176F0"/>
    <w:rsid w:val="00622706"/>
    <w:rsid w:val="006233EE"/>
    <w:rsid w:val="00630E34"/>
    <w:rsid w:val="006323FF"/>
    <w:rsid w:val="00695BC1"/>
    <w:rsid w:val="00697032"/>
    <w:rsid w:val="006A37FF"/>
    <w:rsid w:val="006B0DC1"/>
    <w:rsid w:val="006C4D3A"/>
    <w:rsid w:val="006D54EB"/>
    <w:rsid w:val="006E0689"/>
    <w:rsid w:val="006E442A"/>
    <w:rsid w:val="006E55B2"/>
    <w:rsid w:val="006F2DD6"/>
    <w:rsid w:val="006F44F5"/>
    <w:rsid w:val="006F4797"/>
    <w:rsid w:val="006F5938"/>
    <w:rsid w:val="006F59A7"/>
    <w:rsid w:val="00714FDE"/>
    <w:rsid w:val="007150A8"/>
    <w:rsid w:val="00716090"/>
    <w:rsid w:val="00720663"/>
    <w:rsid w:val="0076033B"/>
    <w:rsid w:val="00765909"/>
    <w:rsid w:val="00775B96"/>
    <w:rsid w:val="007806E3"/>
    <w:rsid w:val="00780D45"/>
    <w:rsid w:val="0078480D"/>
    <w:rsid w:val="00795915"/>
    <w:rsid w:val="007A25D2"/>
    <w:rsid w:val="007A7D0F"/>
    <w:rsid w:val="007B6EB9"/>
    <w:rsid w:val="007C20A8"/>
    <w:rsid w:val="007D5595"/>
    <w:rsid w:val="007E3C55"/>
    <w:rsid w:val="007F0D80"/>
    <w:rsid w:val="007F7D76"/>
    <w:rsid w:val="00800422"/>
    <w:rsid w:val="0080313B"/>
    <w:rsid w:val="00813251"/>
    <w:rsid w:val="00820353"/>
    <w:rsid w:val="00823678"/>
    <w:rsid w:val="00831A9C"/>
    <w:rsid w:val="008326E5"/>
    <w:rsid w:val="00835E84"/>
    <w:rsid w:val="008757B1"/>
    <w:rsid w:val="00886F57"/>
    <w:rsid w:val="008907F1"/>
    <w:rsid w:val="00892657"/>
    <w:rsid w:val="00893BA6"/>
    <w:rsid w:val="008B5CFB"/>
    <w:rsid w:val="008C366C"/>
    <w:rsid w:val="008C40D8"/>
    <w:rsid w:val="008D014B"/>
    <w:rsid w:val="008E4156"/>
    <w:rsid w:val="008E6B6C"/>
    <w:rsid w:val="008F30B4"/>
    <w:rsid w:val="00901959"/>
    <w:rsid w:val="00905B42"/>
    <w:rsid w:val="009068A4"/>
    <w:rsid w:val="0091453C"/>
    <w:rsid w:val="00922700"/>
    <w:rsid w:val="0093682D"/>
    <w:rsid w:val="00954D82"/>
    <w:rsid w:val="009B0730"/>
    <w:rsid w:val="009B65BC"/>
    <w:rsid w:val="009C129F"/>
    <w:rsid w:val="009D3D5D"/>
    <w:rsid w:val="00A25278"/>
    <w:rsid w:val="00A278B8"/>
    <w:rsid w:val="00A41495"/>
    <w:rsid w:val="00A477BE"/>
    <w:rsid w:val="00A53FB5"/>
    <w:rsid w:val="00A6185F"/>
    <w:rsid w:val="00A62A55"/>
    <w:rsid w:val="00A7439E"/>
    <w:rsid w:val="00A80BE8"/>
    <w:rsid w:val="00A87FF7"/>
    <w:rsid w:val="00A91274"/>
    <w:rsid w:val="00A92DD1"/>
    <w:rsid w:val="00AA69EB"/>
    <w:rsid w:val="00AC708F"/>
    <w:rsid w:val="00AE12DA"/>
    <w:rsid w:val="00B00E62"/>
    <w:rsid w:val="00B014CE"/>
    <w:rsid w:val="00B05C4D"/>
    <w:rsid w:val="00B22677"/>
    <w:rsid w:val="00B30DDC"/>
    <w:rsid w:val="00B3538B"/>
    <w:rsid w:val="00B512CE"/>
    <w:rsid w:val="00B5701A"/>
    <w:rsid w:val="00B7239C"/>
    <w:rsid w:val="00B740AE"/>
    <w:rsid w:val="00B774FA"/>
    <w:rsid w:val="00B81A95"/>
    <w:rsid w:val="00BA0266"/>
    <w:rsid w:val="00BB1B70"/>
    <w:rsid w:val="00BD1237"/>
    <w:rsid w:val="00BE0133"/>
    <w:rsid w:val="00BF58B0"/>
    <w:rsid w:val="00C03D6C"/>
    <w:rsid w:val="00C059D4"/>
    <w:rsid w:val="00C10B9D"/>
    <w:rsid w:val="00C2792D"/>
    <w:rsid w:val="00C3796C"/>
    <w:rsid w:val="00C4502C"/>
    <w:rsid w:val="00C52278"/>
    <w:rsid w:val="00C5229C"/>
    <w:rsid w:val="00C6258F"/>
    <w:rsid w:val="00CA3A05"/>
    <w:rsid w:val="00CA592B"/>
    <w:rsid w:val="00CA75C0"/>
    <w:rsid w:val="00CB0D0B"/>
    <w:rsid w:val="00CB14EA"/>
    <w:rsid w:val="00CC2A0E"/>
    <w:rsid w:val="00CE183A"/>
    <w:rsid w:val="00CE27F9"/>
    <w:rsid w:val="00CE2BA0"/>
    <w:rsid w:val="00CF3B29"/>
    <w:rsid w:val="00CF4B93"/>
    <w:rsid w:val="00CF6A5F"/>
    <w:rsid w:val="00D0025D"/>
    <w:rsid w:val="00D11C1B"/>
    <w:rsid w:val="00D12A8F"/>
    <w:rsid w:val="00D23F6E"/>
    <w:rsid w:val="00D309A1"/>
    <w:rsid w:val="00D401C6"/>
    <w:rsid w:val="00D52822"/>
    <w:rsid w:val="00D56FFB"/>
    <w:rsid w:val="00D746F2"/>
    <w:rsid w:val="00D7708D"/>
    <w:rsid w:val="00D9551B"/>
    <w:rsid w:val="00DB03AF"/>
    <w:rsid w:val="00DB6D55"/>
    <w:rsid w:val="00DD14BC"/>
    <w:rsid w:val="00DE02B2"/>
    <w:rsid w:val="00DF4207"/>
    <w:rsid w:val="00DF45FC"/>
    <w:rsid w:val="00E11091"/>
    <w:rsid w:val="00E13018"/>
    <w:rsid w:val="00E21706"/>
    <w:rsid w:val="00E23F19"/>
    <w:rsid w:val="00E47698"/>
    <w:rsid w:val="00E508C3"/>
    <w:rsid w:val="00E53C1C"/>
    <w:rsid w:val="00E5515A"/>
    <w:rsid w:val="00E576DC"/>
    <w:rsid w:val="00E715B4"/>
    <w:rsid w:val="00E74815"/>
    <w:rsid w:val="00E7508B"/>
    <w:rsid w:val="00E8053F"/>
    <w:rsid w:val="00E83A1F"/>
    <w:rsid w:val="00E87C86"/>
    <w:rsid w:val="00EB0AC8"/>
    <w:rsid w:val="00EB2E60"/>
    <w:rsid w:val="00EB7BD7"/>
    <w:rsid w:val="00EE34E4"/>
    <w:rsid w:val="00EF1001"/>
    <w:rsid w:val="00F050EA"/>
    <w:rsid w:val="00F254C5"/>
    <w:rsid w:val="00F32832"/>
    <w:rsid w:val="00F36D78"/>
    <w:rsid w:val="00F51674"/>
    <w:rsid w:val="00F62DF3"/>
    <w:rsid w:val="00F63475"/>
    <w:rsid w:val="00F824FE"/>
    <w:rsid w:val="00F84F16"/>
    <w:rsid w:val="00F9664D"/>
    <w:rsid w:val="00FA6583"/>
    <w:rsid w:val="00FC0282"/>
    <w:rsid w:val="00FC5CAA"/>
    <w:rsid w:val="00FC5D84"/>
    <w:rsid w:val="00FD39EF"/>
    <w:rsid w:val="00FD69F9"/>
    <w:rsid w:val="00FF16E1"/>
    <w:rsid w:val="00FF4A7C"/>
    <w:rsid w:val="00FF5742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5"/>
    <w:pPr>
      <w:ind w:left="720"/>
      <w:contextualSpacing/>
    </w:pPr>
  </w:style>
  <w:style w:type="table" w:styleId="TableGrid">
    <w:name w:val="Table Grid"/>
    <w:basedOn w:val="TableNormal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C5"/>
    <w:rPr>
      <w:lang w:val="en-US"/>
    </w:rPr>
  </w:style>
  <w:style w:type="paragraph" w:styleId="NoSpacing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08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708D"/>
    <w:rPr>
      <w:vertAlign w:val="superscript"/>
    </w:rPr>
  </w:style>
  <w:style w:type="paragraph" w:customStyle="1" w:styleId="tvhtml">
    <w:name w:val="tv_html"/>
    <w:basedOn w:val="Normal"/>
    <w:rsid w:val="003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7214</Words>
  <Characters>4112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Ineta Sausa</cp:lastModifiedBy>
  <cp:revision>58</cp:revision>
  <cp:lastPrinted>2022-04-22T05:29:00Z</cp:lastPrinted>
  <dcterms:created xsi:type="dcterms:W3CDTF">2023-10-04T11:09:00Z</dcterms:created>
  <dcterms:modified xsi:type="dcterms:W3CDTF">2023-11-14T09:02:00Z</dcterms:modified>
</cp:coreProperties>
</file>