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D076" w14:textId="77777777" w:rsidR="00943085" w:rsidRPr="00943085" w:rsidRDefault="00943085" w:rsidP="006C1208">
      <w:pPr>
        <w:spacing w:after="0" w:line="240" w:lineRule="auto"/>
        <w:ind w:right="185"/>
        <w:jc w:val="right"/>
        <w:rPr>
          <w:rFonts w:eastAsia="Times New Roman" w:cs="Times New Roman"/>
          <w:i/>
          <w:szCs w:val="24"/>
          <w:lang w:eastAsia="lv-LV"/>
        </w:rPr>
      </w:pPr>
      <w:r w:rsidRPr="00943085">
        <w:rPr>
          <w:rFonts w:eastAsia="Times New Roman" w:cs="Times New Roman"/>
          <w:i/>
          <w:szCs w:val="24"/>
          <w:lang w:eastAsia="lv-LV"/>
        </w:rPr>
        <w:t>Projekts</w:t>
      </w:r>
    </w:p>
    <w:p w14:paraId="2E4AD077" w14:textId="77777777" w:rsidR="00943085" w:rsidRPr="00943085" w:rsidRDefault="00943085" w:rsidP="00943085">
      <w:pPr>
        <w:spacing w:after="0" w:line="240" w:lineRule="auto"/>
        <w:ind w:right="-1054"/>
        <w:jc w:val="center"/>
        <w:rPr>
          <w:rFonts w:eastAsia="Times New Roman" w:cs="Times New Roman"/>
          <w:sz w:val="28"/>
          <w:szCs w:val="28"/>
          <w:lang w:eastAsia="lv-LV"/>
        </w:rPr>
      </w:pPr>
      <w:r w:rsidRPr="00943085">
        <w:rPr>
          <w:rFonts w:eastAsia="Times New Roman" w:cs="Times New Roman"/>
          <w:sz w:val="28"/>
          <w:szCs w:val="28"/>
          <w:lang w:eastAsia="lv-LV"/>
        </w:rPr>
        <w:t>Jelgavas novada dome</w:t>
      </w:r>
    </w:p>
    <w:p w14:paraId="2E4AD078" w14:textId="77777777" w:rsidR="00943085" w:rsidRPr="00943085" w:rsidRDefault="00943085" w:rsidP="00943085">
      <w:pPr>
        <w:spacing w:after="0" w:line="240" w:lineRule="auto"/>
        <w:ind w:right="-716"/>
        <w:jc w:val="center"/>
        <w:rPr>
          <w:rFonts w:eastAsia="Times New Roman" w:cs="Times New Roman"/>
          <w:b/>
          <w:szCs w:val="24"/>
          <w:lang w:eastAsia="lv-LV"/>
        </w:rPr>
      </w:pPr>
      <w:r w:rsidRPr="00943085">
        <w:rPr>
          <w:rFonts w:eastAsia="Times New Roman" w:cs="Times New Roman"/>
          <w:b/>
          <w:sz w:val="28"/>
          <w:szCs w:val="28"/>
          <w:lang w:eastAsia="lv-LV"/>
        </w:rPr>
        <w:t>LĒMUMS</w:t>
      </w:r>
    </w:p>
    <w:p w14:paraId="2E4AD079" w14:textId="77777777" w:rsidR="00943085" w:rsidRPr="00943085" w:rsidRDefault="00943085" w:rsidP="00943085">
      <w:pPr>
        <w:spacing w:after="0" w:line="240" w:lineRule="auto"/>
        <w:ind w:right="-716"/>
        <w:jc w:val="center"/>
        <w:rPr>
          <w:rFonts w:eastAsia="Times New Roman" w:cs="Times New Roman"/>
          <w:szCs w:val="20"/>
          <w:lang w:eastAsia="lv-LV"/>
        </w:rPr>
      </w:pPr>
      <w:r w:rsidRPr="00943085">
        <w:rPr>
          <w:rFonts w:eastAsia="Times New Roman" w:cs="Times New Roman"/>
          <w:szCs w:val="20"/>
          <w:lang w:eastAsia="lv-LV"/>
        </w:rPr>
        <w:t>Jelgavā</w:t>
      </w:r>
    </w:p>
    <w:p w14:paraId="2E4AD07A" w14:textId="74DAAA17" w:rsidR="00943085" w:rsidRPr="00943085" w:rsidRDefault="00943085" w:rsidP="00943085">
      <w:pPr>
        <w:tabs>
          <w:tab w:val="left" w:pos="3261"/>
        </w:tabs>
        <w:spacing w:after="60" w:line="240" w:lineRule="auto"/>
        <w:outlineLvl w:val="1"/>
        <w:rPr>
          <w:rFonts w:eastAsia="Times New Roman" w:cs="Times New Roman"/>
          <w:szCs w:val="20"/>
        </w:rPr>
      </w:pPr>
      <w:r w:rsidRPr="00943085">
        <w:rPr>
          <w:rFonts w:eastAsia="Times New Roman" w:cs="Times New Roman"/>
          <w:szCs w:val="24"/>
        </w:rPr>
        <w:t>20</w:t>
      </w:r>
      <w:r w:rsidR="008564B0">
        <w:rPr>
          <w:rFonts w:eastAsia="Times New Roman" w:cs="Times New Roman"/>
          <w:szCs w:val="24"/>
        </w:rPr>
        <w:t>2</w:t>
      </w:r>
      <w:r w:rsidR="00B42B0D">
        <w:rPr>
          <w:rFonts w:eastAsia="Times New Roman" w:cs="Times New Roman"/>
          <w:szCs w:val="24"/>
        </w:rPr>
        <w:t>3</w:t>
      </w:r>
      <w:r w:rsidR="00F036ED">
        <w:rPr>
          <w:rFonts w:eastAsia="Times New Roman" w:cs="Times New Roman"/>
          <w:szCs w:val="24"/>
        </w:rPr>
        <w:t>.</w:t>
      </w:r>
      <w:r w:rsidRPr="00943085">
        <w:rPr>
          <w:rFonts w:eastAsia="Times New Roman" w:cs="Times New Roman"/>
          <w:szCs w:val="24"/>
        </w:rPr>
        <w:t xml:space="preserve"> gada</w:t>
      </w:r>
      <w:r w:rsidR="00C505E5">
        <w:rPr>
          <w:rFonts w:eastAsia="Times New Roman" w:cs="Times New Roman"/>
          <w:szCs w:val="24"/>
        </w:rPr>
        <w:t xml:space="preserve"> </w:t>
      </w:r>
      <w:r w:rsidR="001457AD">
        <w:rPr>
          <w:rFonts w:eastAsia="Times New Roman" w:cs="Times New Roman"/>
          <w:szCs w:val="24"/>
        </w:rPr>
        <w:t>___</w:t>
      </w:r>
      <w:r w:rsidR="008005AF">
        <w:rPr>
          <w:rFonts w:eastAsia="Times New Roman" w:cs="Times New Roman"/>
          <w:szCs w:val="24"/>
        </w:rPr>
        <w:t xml:space="preserve">. </w:t>
      </w:r>
      <w:r w:rsidR="00B42B0D">
        <w:rPr>
          <w:rFonts w:eastAsia="Times New Roman" w:cs="Times New Roman"/>
          <w:szCs w:val="24"/>
        </w:rPr>
        <w:t>decembrī</w:t>
      </w:r>
      <w:r w:rsidRPr="00943085">
        <w:rPr>
          <w:rFonts w:eastAsia="Times New Roman" w:cs="Times New Roman"/>
          <w:szCs w:val="24"/>
        </w:rPr>
        <w:tab/>
      </w:r>
      <w:r w:rsidRPr="00943085">
        <w:rPr>
          <w:rFonts w:eastAsia="Times New Roman" w:cs="Times New Roman"/>
          <w:szCs w:val="24"/>
        </w:rPr>
        <w:tab/>
      </w:r>
      <w:r w:rsidRPr="00943085">
        <w:rPr>
          <w:rFonts w:eastAsia="Times New Roman" w:cs="Times New Roman"/>
          <w:szCs w:val="24"/>
        </w:rPr>
        <w:tab/>
      </w:r>
      <w:r w:rsidRPr="00943085">
        <w:rPr>
          <w:rFonts w:eastAsia="Times New Roman" w:cs="Times New Roman"/>
          <w:szCs w:val="24"/>
        </w:rPr>
        <w:tab/>
      </w:r>
      <w:r w:rsidRPr="00943085">
        <w:rPr>
          <w:rFonts w:eastAsia="Times New Roman" w:cs="Times New Roman"/>
          <w:szCs w:val="24"/>
        </w:rPr>
        <w:tab/>
      </w:r>
      <w:r w:rsidRPr="00943085">
        <w:rPr>
          <w:rFonts w:eastAsia="Times New Roman" w:cs="Times New Roman"/>
          <w:szCs w:val="24"/>
        </w:rPr>
        <w:tab/>
        <w:t>Nr.</w:t>
      </w:r>
    </w:p>
    <w:p w14:paraId="302BA22A" w14:textId="77777777" w:rsidR="003A659F" w:rsidRPr="00943085" w:rsidRDefault="003A659F" w:rsidP="00943085">
      <w:pPr>
        <w:spacing w:after="0" w:line="240" w:lineRule="auto"/>
        <w:ind w:right="-716"/>
        <w:jc w:val="both"/>
        <w:rPr>
          <w:rFonts w:eastAsia="Times New Roman" w:cs="Times New Roman"/>
          <w:b/>
          <w:szCs w:val="24"/>
          <w:lang w:eastAsia="lv-LV"/>
        </w:rPr>
      </w:pPr>
    </w:p>
    <w:p w14:paraId="2E4AD07C" w14:textId="0AB593E9" w:rsidR="00943085" w:rsidRPr="00CE7B1B" w:rsidRDefault="00943085" w:rsidP="00943085">
      <w:pPr>
        <w:spacing w:before="60" w:after="0"/>
        <w:rPr>
          <w:rFonts w:eastAsia="Times New Roman" w:cs="Times New Roman"/>
          <w:b/>
          <w:color w:val="000000"/>
          <w:szCs w:val="24"/>
          <w:lang w:eastAsia="lv-LV"/>
        </w:rPr>
      </w:pPr>
      <w:r w:rsidRPr="00CE7B1B">
        <w:rPr>
          <w:rFonts w:eastAsia="Times New Roman" w:cs="Times New Roman"/>
          <w:b/>
          <w:color w:val="000000"/>
          <w:szCs w:val="24"/>
          <w:lang w:eastAsia="lv-LV"/>
        </w:rPr>
        <w:t>Par apkures tarifu apstiprināšanu</w:t>
      </w:r>
      <w:r w:rsidR="00A74B8C" w:rsidRPr="00CE7B1B">
        <w:rPr>
          <w:rFonts w:eastAsia="Times New Roman" w:cs="Times New Roman"/>
          <w:b/>
          <w:szCs w:val="24"/>
          <w:lang w:eastAsia="lv-LV"/>
        </w:rPr>
        <w:t xml:space="preserve"> </w:t>
      </w:r>
      <w:r w:rsidR="00CE7B1B" w:rsidRPr="00CE7B1B">
        <w:rPr>
          <w:rFonts w:eastAsia="Times New Roman" w:cs="Times New Roman"/>
          <w:b/>
          <w:szCs w:val="24"/>
          <w:lang w:eastAsia="lv-LV"/>
        </w:rPr>
        <w:t xml:space="preserve">Elejas, Jaunsvirlaukas, Lielplatones, Platones, Salgales, Sesavas, Svētes, Valgundes, Vilces, Vircavas, Zaļenieku pagasta </w:t>
      </w:r>
      <w:r w:rsidR="00A74B8C" w:rsidRPr="00CE7B1B">
        <w:rPr>
          <w:rFonts w:eastAsia="Times New Roman" w:cs="Times New Roman"/>
          <w:b/>
          <w:szCs w:val="24"/>
          <w:lang w:eastAsia="lv-LV"/>
        </w:rPr>
        <w:t>iestādēs</w:t>
      </w:r>
    </w:p>
    <w:p w14:paraId="2E4AD07D" w14:textId="77777777" w:rsidR="00943085" w:rsidRPr="00DE2572" w:rsidRDefault="00943085" w:rsidP="006B2CB6">
      <w:pPr>
        <w:spacing w:before="60" w:after="0"/>
        <w:ind w:right="-766"/>
        <w:rPr>
          <w:rFonts w:eastAsia="Times New Roman" w:cs="Times New Roman"/>
          <w:b/>
          <w:sz w:val="22"/>
          <w:szCs w:val="24"/>
          <w:lang w:eastAsia="lv-LV"/>
        </w:rPr>
      </w:pPr>
    </w:p>
    <w:p w14:paraId="2E4AD07E" w14:textId="332BB3D8" w:rsidR="00943085" w:rsidRPr="00DE2572" w:rsidRDefault="00943085" w:rsidP="00AB3676">
      <w:pPr>
        <w:spacing w:after="0" w:line="240" w:lineRule="auto"/>
        <w:ind w:right="43" w:firstLine="567"/>
        <w:jc w:val="both"/>
        <w:rPr>
          <w:rFonts w:eastAsia="Times New Roman" w:cs="Times New Roman"/>
          <w:b/>
          <w:szCs w:val="24"/>
          <w:lang w:eastAsia="lv-LV"/>
        </w:rPr>
      </w:pPr>
      <w:r w:rsidRPr="00DE2572">
        <w:rPr>
          <w:rFonts w:eastAsia="Times New Roman" w:cs="Times New Roman"/>
          <w:szCs w:val="24"/>
          <w:lang w:eastAsia="lv-LV"/>
        </w:rPr>
        <w:t>Izskatot Elejas</w:t>
      </w:r>
      <w:r w:rsidR="008564B0">
        <w:rPr>
          <w:rFonts w:eastAsia="Times New Roman" w:cs="Times New Roman"/>
          <w:szCs w:val="24"/>
          <w:lang w:eastAsia="lv-LV"/>
        </w:rPr>
        <w:t>,</w:t>
      </w:r>
      <w:r w:rsidR="003A659F" w:rsidRPr="00DE2572">
        <w:rPr>
          <w:rFonts w:eastAsia="Times New Roman" w:cs="Times New Roman"/>
          <w:szCs w:val="24"/>
          <w:lang w:eastAsia="lv-LV"/>
        </w:rPr>
        <w:t xml:space="preserve"> Jaunsvirlaukas, </w:t>
      </w:r>
      <w:r w:rsidR="00AB3676">
        <w:rPr>
          <w:rFonts w:eastAsia="Times New Roman" w:cs="Times New Roman"/>
          <w:szCs w:val="24"/>
          <w:lang w:eastAsia="lv-LV"/>
        </w:rPr>
        <w:t>Lielplatones, Platones,</w:t>
      </w:r>
      <w:r w:rsidR="00AB3676" w:rsidRPr="00DE2572">
        <w:rPr>
          <w:rFonts w:eastAsia="Times New Roman" w:cs="Times New Roman"/>
          <w:szCs w:val="24"/>
          <w:lang w:eastAsia="lv-LV"/>
        </w:rPr>
        <w:t xml:space="preserve"> </w:t>
      </w:r>
      <w:r w:rsidR="00AB3676">
        <w:rPr>
          <w:rFonts w:eastAsia="Times New Roman" w:cs="Times New Roman"/>
          <w:szCs w:val="24"/>
          <w:lang w:eastAsia="lv-LV"/>
        </w:rPr>
        <w:t>Salgales,</w:t>
      </w:r>
      <w:r w:rsidR="00AB3676" w:rsidRPr="00DE2572">
        <w:rPr>
          <w:rFonts w:eastAsia="Times New Roman" w:cs="Times New Roman"/>
          <w:szCs w:val="24"/>
          <w:lang w:eastAsia="lv-LV"/>
        </w:rPr>
        <w:t xml:space="preserve"> </w:t>
      </w:r>
      <w:r w:rsidR="00B343A2" w:rsidRPr="00DE2572">
        <w:rPr>
          <w:rFonts w:eastAsia="Times New Roman" w:cs="Times New Roman"/>
          <w:szCs w:val="24"/>
          <w:lang w:eastAsia="lv-LV"/>
        </w:rPr>
        <w:t>Sesavas</w:t>
      </w:r>
      <w:r w:rsidR="00716A22" w:rsidRPr="00DE2572">
        <w:rPr>
          <w:rFonts w:eastAsia="Times New Roman" w:cs="Times New Roman"/>
          <w:szCs w:val="24"/>
          <w:lang w:eastAsia="lv-LV"/>
        </w:rPr>
        <w:t xml:space="preserve">, </w:t>
      </w:r>
      <w:r w:rsidR="00AB3676" w:rsidRPr="00DE2572">
        <w:rPr>
          <w:rFonts w:eastAsia="Times New Roman" w:cs="Times New Roman"/>
          <w:szCs w:val="24"/>
          <w:lang w:eastAsia="lv-LV"/>
        </w:rPr>
        <w:t>Svētes</w:t>
      </w:r>
      <w:r w:rsidR="00AB3676">
        <w:rPr>
          <w:rFonts w:eastAsia="Times New Roman" w:cs="Times New Roman"/>
          <w:szCs w:val="24"/>
          <w:lang w:eastAsia="lv-LV"/>
        </w:rPr>
        <w:t>,</w:t>
      </w:r>
      <w:r w:rsidR="00AB3676" w:rsidRPr="00DE2572">
        <w:rPr>
          <w:rFonts w:eastAsia="Times New Roman" w:cs="Times New Roman"/>
          <w:szCs w:val="24"/>
          <w:lang w:eastAsia="lv-LV"/>
        </w:rPr>
        <w:t xml:space="preserve"> </w:t>
      </w:r>
      <w:r w:rsidR="00310234" w:rsidRPr="00DE2572">
        <w:rPr>
          <w:rFonts w:eastAsia="Times New Roman" w:cs="Times New Roman"/>
          <w:szCs w:val="24"/>
          <w:lang w:eastAsia="lv-LV"/>
        </w:rPr>
        <w:t>Valgundes</w:t>
      </w:r>
      <w:r w:rsidR="00E140D4" w:rsidRPr="00DE2572">
        <w:rPr>
          <w:rFonts w:eastAsia="Times New Roman" w:cs="Times New Roman"/>
          <w:szCs w:val="24"/>
          <w:lang w:eastAsia="lv-LV"/>
        </w:rPr>
        <w:t>,</w:t>
      </w:r>
      <w:r w:rsidR="003A659F" w:rsidRPr="00DE2572">
        <w:rPr>
          <w:rFonts w:eastAsia="Times New Roman" w:cs="Times New Roman"/>
          <w:szCs w:val="24"/>
          <w:lang w:eastAsia="lv-LV"/>
        </w:rPr>
        <w:t xml:space="preserve"> </w:t>
      </w:r>
      <w:r w:rsidR="00AB3676">
        <w:rPr>
          <w:rFonts w:eastAsia="Times New Roman" w:cs="Times New Roman"/>
          <w:szCs w:val="24"/>
          <w:lang w:eastAsia="lv-LV"/>
        </w:rPr>
        <w:t xml:space="preserve">Vilces, </w:t>
      </w:r>
      <w:r w:rsidR="00E140D4" w:rsidRPr="00DE2572">
        <w:rPr>
          <w:rFonts w:eastAsia="Times New Roman" w:cs="Times New Roman"/>
          <w:szCs w:val="24"/>
          <w:lang w:eastAsia="lv-LV"/>
        </w:rPr>
        <w:t>Vircavas</w:t>
      </w:r>
      <w:r w:rsidR="00B76FC5" w:rsidRPr="00DE2572">
        <w:rPr>
          <w:rFonts w:eastAsia="Times New Roman" w:cs="Times New Roman"/>
          <w:szCs w:val="24"/>
          <w:lang w:eastAsia="lv-LV"/>
        </w:rPr>
        <w:t xml:space="preserve">, </w:t>
      </w:r>
      <w:r w:rsidR="003A659F" w:rsidRPr="00DE2572">
        <w:rPr>
          <w:rFonts w:eastAsia="Times New Roman" w:cs="Times New Roman"/>
          <w:szCs w:val="24"/>
          <w:lang w:eastAsia="lv-LV"/>
        </w:rPr>
        <w:t>Zaļenieku</w:t>
      </w:r>
      <w:r w:rsidR="00AB3676">
        <w:rPr>
          <w:rFonts w:eastAsia="Times New Roman" w:cs="Times New Roman"/>
          <w:szCs w:val="24"/>
          <w:lang w:eastAsia="lv-LV"/>
        </w:rPr>
        <w:t xml:space="preserve"> </w:t>
      </w:r>
      <w:r w:rsidRPr="00DE2572">
        <w:rPr>
          <w:rFonts w:eastAsia="Times New Roman" w:cs="Times New Roman"/>
          <w:szCs w:val="24"/>
          <w:lang w:eastAsia="lv-LV"/>
        </w:rPr>
        <w:t xml:space="preserve">pagasta pārvaldes </w:t>
      </w:r>
      <w:r w:rsidR="00F768F5">
        <w:rPr>
          <w:rFonts w:eastAsia="Times New Roman" w:cs="Times New Roman"/>
          <w:szCs w:val="24"/>
          <w:lang w:eastAsia="lv-LV"/>
        </w:rPr>
        <w:t>aprēķinātos apkures tarifus</w:t>
      </w:r>
      <w:r w:rsidR="004976E3">
        <w:rPr>
          <w:rFonts w:eastAsia="Times New Roman" w:cs="Times New Roman"/>
          <w:szCs w:val="24"/>
          <w:lang w:eastAsia="lv-LV"/>
        </w:rPr>
        <w:t>,</w:t>
      </w:r>
      <w:r w:rsidR="006A0DF1">
        <w:rPr>
          <w:rFonts w:eastAsia="Times New Roman" w:cs="Times New Roman"/>
          <w:szCs w:val="24"/>
          <w:lang w:eastAsia="lv-LV"/>
        </w:rPr>
        <w:t xml:space="preserve"> </w:t>
      </w:r>
      <w:r w:rsidRPr="00DE2572">
        <w:rPr>
          <w:rFonts w:eastAsia="Times New Roman" w:cs="Times New Roman"/>
          <w:szCs w:val="24"/>
          <w:lang w:eastAsia="lv-LV"/>
        </w:rPr>
        <w:t>pamatojoties u</w:t>
      </w:r>
      <w:r w:rsidR="00B42B0D">
        <w:rPr>
          <w:rFonts w:eastAsia="Times New Roman" w:cs="Times New Roman"/>
          <w:szCs w:val="24"/>
          <w:lang w:eastAsia="lv-LV"/>
        </w:rPr>
        <w:t xml:space="preserve">z </w:t>
      </w:r>
      <w:r w:rsidR="00B42B0D" w:rsidRPr="00B42B0D">
        <w:rPr>
          <w:rFonts w:eastAsia="Times New Roman" w:cs="Times New Roman"/>
          <w:szCs w:val="24"/>
          <w:lang w:eastAsia="lv-LV"/>
        </w:rPr>
        <w:t>Pašvaldīb</w:t>
      </w:r>
      <w:r w:rsidR="000A50D0">
        <w:rPr>
          <w:rFonts w:eastAsia="Times New Roman" w:cs="Times New Roman"/>
          <w:szCs w:val="24"/>
          <w:lang w:eastAsia="lv-LV"/>
        </w:rPr>
        <w:t xml:space="preserve">u </w:t>
      </w:r>
      <w:r w:rsidR="00B42B0D" w:rsidRPr="00B42B0D">
        <w:rPr>
          <w:rFonts w:eastAsia="Times New Roman" w:cs="Times New Roman"/>
          <w:szCs w:val="24"/>
          <w:lang w:eastAsia="lv-LV"/>
        </w:rPr>
        <w:t>likuma 4. panta pirmās daļas 1. punktu</w:t>
      </w:r>
      <w:r w:rsidR="008348A7">
        <w:rPr>
          <w:rFonts w:eastAsia="Times New Roman" w:cs="Times New Roman"/>
          <w:szCs w:val="24"/>
          <w:lang w:eastAsia="lv-LV"/>
        </w:rPr>
        <w:t xml:space="preserve"> un 10. panta pirmās daļas 21. punktu</w:t>
      </w:r>
      <w:r w:rsidR="00B42B0D" w:rsidRPr="00B42B0D">
        <w:rPr>
          <w:rFonts w:eastAsia="Times New Roman" w:cs="Times New Roman"/>
          <w:szCs w:val="24"/>
          <w:lang w:eastAsia="lv-LV"/>
        </w:rPr>
        <w:t xml:space="preserve">, Jelgavas novada pašvaldības </w:t>
      </w:r>
      <w:r w:rsidR="002162C6">
        <w:rPr>
          <w:rFonts w:eastAsia="Times New Roman" w:cs="Times New Roman"/>
          <w:szCs w:val="24"/>
          <w:lang w:eastAsia="lv-LV"/>
        </w:rPr>
        <w:t xml:space="preserve">2022.gada 28.septembra </w:t>
      </w:r>
      <w:r w:rsidR="00B42B0D" w:rsidRPr="00B42B0D">
        <w:rPr>
          <w:rFonts w:eastAsia="Times New Roman" w:cs="Times New Roman"/>
          <w:szCs w:val="24"/>
          <w:lang w:eastAsia="lv-LV"/>
        </w:rPr>
        <w:t>noteikumiem “Centralizētās siltumenerģijas apgādes pakalpojumu tarifu aprēķināšanas metodika Jelgavas novada administratīvajā teritorijā”</w:t>
      </w:r>
      <w:r w:rsidR="00197AA3">
        <w:t>,</w:t>
      </w:r>
      <w:r w:rsidR="000103E8" w:rsidRPr="00DE2572">
        <w:rPr>
          <w:rFonts w:eastAsia="Times New Roman" w:cs="Times New Roman"/>
          <w:szCs w:val="24"/>
          <w:lang w:eastAsia="lv-LV"/>
        </w:rPr>
        <w:t xml:space="preserve"> Jelgavas </w:t>
      </w:r>
      <w:r w:rsidRPr="00DE2572">
        <w:rPr>
          <w:rFonts w:eastAsia="Times New Roman" w:cs="Times New Roman"/>
          <w:szCs w:val="24"/>
          <w:lang w:eastAsia="lv-LV"/>
        </w:rPr>
        <w:t>novada dome</w:t>
      </w:r>
      <w:r w:rsidR="000103E8" w:rsidRPr="00DE2572">
        <w:rPr>
          <w:rFonts w:eastAsia="Times New Roman" w:cs="Times New Roman"/>
          <w:szCs w:val="24"/>
          <w:lang w:eastAsia="lv-LV"/>
        </w:rPr>
        <w:t xml:space="preserve"> </w:t>
      </w:r>
      <w:r w:rsidRPr="00DE2572">
        <w:rPr>
          <w:rFonts w:eastAsia="Times New Roman" w:cs="Times New Roman"/>
          <w:b/>
          <w:szCs w:val="24"/>
          <w:lang w:eastAsia="lv-LV"/>
        </w:rPr>
        <w:t>nolemj:</w:t>
      </w:r>
    </w:p>
    <w:p w14:paraId="2E4AD07F" w14:textId="77777777" w:rsidR="00943085" w:rsidRPr="00DE2572" w:rsidRDefault="00943085" w:rsidP="006B2CB6">
      <w:pPr>
        <w:spacing w:after="0" w:line="240" w:lineRule="auto"/>
        <w:ind w:right="-766" w:firstLine="567"/>
        <w:jc w:val="both"/>
        <w:rPr>
          <w:rFonts w:eastAsia="Times New Roman" w:cs="Times New Roman"/>
          <w:szCs w:val="24"/>
          <w:lang w:eastAsia="lv-LV"/>
        </w:rPr>
      </w:pPr>
    </w:p>
    <w:p w14:paraId="72FB8BE8" w14:textId="0E37BED2" w:rsidR="00685CD7" w:rsidRPr="00DE2572" w:rsidRDefault="00943085" w:rsidP="00AB3676">
      <w:pPr>
        <w:pStyle w:val="ListParagraph"/>
        <w:numPr>
          <w:ilvl w:val="0"/>
          <w:numId w:val="1"/>
        </w:numPr>
        <w:spacing w:after="0" w:line="240" w:lineRule="auto"/>
        <w:ind w:right="-766"/>
        <w:jc w:val="both"/>
      </w:pPr>
      <w:r w:rsidRPr="008348A7">
        <w:rPr>
          <w:rFonts w:eastAsia="Times New Roman" w:cs="Times New Roman"/>
          <w:szCs w:val="24"/>
          <w:lang w:eastAsia="lv-LV"/>
        </w:rPr>
        <w:t xml:space="preserve">Apstiprināt </w:t>
      </w:r>
      <w:r w:rsidR="00366D1F" w:rsidRPr="008348A7">
        <w:rPr>
          <w:rFonts w:eastAsia="Times New Roman" w:cs="Times New Roman"/>
          <w:szCs w:val="24"/>
          <w:lang w:eastAsia="lv-LV"/>
        </w:rPr>
        <w:t xml:space="preserve">apkures </w:t>
      </w:r>
      <w:r w:rsidR="00C76924" w:rsidRPr="008348A7">
        <w:rPr>
          <w:rFonts w:eastAsia="Times New Roman" w:cs="Times New Roman"/>
          <w:szCs w:val="24"/>
          <w:lang w:eastAsia="lv-LV"/>
        </w:rPr>
        <w:t>tarifu</w:t>
      </w:r>
      <w:r w:rsidR="006B2CB6" w:rsidRPr="008348A7">
        <w:rPr>
          <w:rFonts w:eastAsia="Times New Roman" w:cs="Times New Roman"/>
          <w:szCs w:val="24"/>
          <w:lang w:eastAsia="lv-LV"/>
        </w:rPr>
        <w:t>s</w:t>
      </w:r>
      <w:r w:rsidRPr="008348A7">
        <w:rPr>
          <w:rFonts w:eastAsia="Times New Roman" w:cs="Times New Roman"/>
          <w:szCs w:val="24"/>
          <w:lang w:eastAsia="lv-LV"/>
        </w:rPr>
        <w:t xml:space="preserve">  </w:t>
      </w:r>
      <w:r w:rsidR="00B42B0D" w:rsidRPr="008348A7">
        <w:rPr>
          <w:rFonts w:eastAsia="Times New Roman" w:cs="Times New Roman"/>
          <w:szCs w:val="24"/>
          <w:lang w:eastAsia="lv-LV"/>
        </w:rPr>
        <w:t>no 2024. gada 1. janvāra</w:t>
      </w:r>
      <w:r w:rsidR="00E4721C" w:rsidRPr="008348A7">
        <w:rPr>
          <w:rFonts w:eastAsia="Times New Roman" w:cs="Times New Roman"/>
          <w:szCs w:val="24"/>
          <w:lang w:eastAsia="lv-LV"/>
        </w:rPr>
        <w:t xml:space="preserve"> </w:t>
      </w:r>
      <w:r w:rsidR="003A659F" w:rsidRPr="008348A7">
        <w:rPr>
          <w:rFonts w:eastAsia="Times New Roman" w:cs="Times New Roman"/>
          <w:szCs w:val="24"/>
          <w:lang w:eastAsia="lv-LV"/>
        </w:rPr>
        <w:t>EUR</w:t>
      </w:r>
      <w:r w:rsidRPr="008348A7">
        <w:rPr>
          <w:rFonts w:eastAsia="Times New Roman" w:cs="Times New Roman"/>
          <w:szCs w:val="24"/>
          <w:lang w:eastAsia="lv-LV"/>
        </w:rPr>
        <w:t>/MWh</w:t>
      </w:r>
      <w:r w:rsidR="00E4721C" w:rsidRPr="008348A7">
        <w:rPr>
          <w:rFonts w:eastAsia="Times New Roman" w:cs="Times New Roman"/>
          <w:szCs w:val="24"/>
          <w:lang w:eastAsia="lv-LV"/>
        </w:rPr>
        <w:t xml:space="preserve"> un</w:t>
      </w:r>
      <w:r w:rsidRPr="008348A7">
        <w:rPr>
          <w:rFonts w:eastAsia="Times New Roman" w:cs="Times New Roman"/>
          <w:szCs w:val="24"/>
          <w:lang w:eastAsia="lv-LV"/>
        </w:rPr>
        <w:t xml:space="preserve"> EUR/m</w:t>
      </w:r>
      <w:r w:rsidRPr="008348A7">
        <w:rPr>
          <w:rFonts w:eastAsia="Times New Roman" w:cs="Times New Roman"/>
          <w:szCs w:val="24"/>
          <w:vertAlign w:val="superscript"/>
          <w:lang w:eastAsia="lv-LV"/>
        </w:rPr>
        <w:t>2</w:t>
      </w:r>
      <w:r w:rsidRPr="008348A7">
        <w:rPr>
          <w:rFonts w:eastAsia="Times New Roman" w:cs="Times New Roman"/>
          <w:szCs w:val="24"/>
          <w:lang w:eastAsia="lv-LV"/>
        </w:rPr>
        <w:t xml:space="preserve">  bez PVN:</w:t>
      </w:r>
    </w:p>
    <w:tbl>
      <w:tblPr>
        <w:tblpPr w:leftFromText="180" w:rightFromText="180" w:vertAnchor="text" w:horzAnchor="margin" w:tblpX="108" w:tblpY="171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5869"/>
        <w:gridCol w:w="1523"/>
        <w:gridCol w:w="1054"/>
      </w:tblGrid>
      <w:tr w:rsidR="00DE2572" w:rsidRPr="00DE2572" w14:paraId="4DD7FFEF" w14:textId="77777777" w:rsidTr="00AB3676">
        <w:trPr>
          <w:trHeight w:val="173"/>
        </w:trPr>
        <w:tc>
          <w:tcPr>
            <w:tcW w:w="930" w:type="dxa"/>
            <w:vMerge w:val="restart"/>
            <w:shd w:val="clear" w:color="auto" w:fill="auto"/>
            <w:noWrap/>
            <w:vAlign w:val="center"/>
          </w:tcPr>
          <w:p w14:paraId="2C537FAA" w14:textId="18EAE55E" w:rsidR="00685CD7" w:rsidRPr="00DE2572" w:rsidRDefault="00685CD7" w:rsidP="00AA0A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DE2572">
              <w:rPr>
                <w:rFonts w:eastAsia="Times New Roman" w:cs="Times New Roman"/>
                <w:b/>
                <w:szCs w:val="24"/>
                <w:lang w:eastAsia="lv-LV"/>
              </w:rPr>
              <w:t>Nr.p.k.</w:t>
            </w:r>
          </w:p>
        </w:tc>
        <w:tc>
          <w:tcPr>
            <w:tcW w:w="5869" w:type="dxa"/>
            <w:vMerge w:val="restart"/>
            <w:shd w:val="clear" w:color="auto" w:fill="auto"/>
            <w:noWrap/>
            <w:vAlign w:val="center"/>
          </w:tcPr>
          <w:p w14:paraId="1A556BF6" w14:textId="0BA02C39" w:rsidR="00685CD7" w:rsidRPr="00DE2572" w:rsidRDefault="00685CD7" w:rsidP="00862695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Cs w:val="24"/>
                <w:lang w:eastAsia="lv-LV"/>
              </w:rPr>
            </w:pPr>
            <w:r w:rsidRPr="00DE2572">
              <w:rPr>
                <w:rFonts w:eastAsia="Times New Roman" w:cs="Times New Roman"/>
                <w:b/>
                <w:szCs w:val="24"/>
                <w:lang w:eastAsia="lv-LV"/>
              </w:rPr>
              <w:t>Ēka</w:t>
            </w:r>
            <w:r w:rsidR="00AB3676">
              <w:rPr>
                <w:rFonts w:eastAsia="Times New Roman" w:cs="Times New Roman"/>
                <w:b/>
                <w:szCs w:val="24"/>
                <w:lang w:eastAsia="lv-LV"/>
              </w:rPr>
              <w:t>s</w:t>
            </w:r>
            <w:r w:rsidRPr="00DE2572">
              <w:rPr>
                <w:rFonts w:eastAsia="Times New Roman" w:cs="Times New Roman"/>
                <w:b/>
                <w:szCs w:val="24"/>
                <w:lang w:eastAsia="lv-LV"/>
              </w:rPr>
              <w:t>, iestādes adrese</w:t>
            </w:r>
          </w:p>
        </w:tc>
        <w:tc>
          <w:tcPr>
            <w:tcW w:w="2590" w:type="dxa"/>
            <w:gridSpan w:val="2"/>
            <w:shd w:val="clear" w:color="auto" w:fill="auto"/>
            <w:vAlign w:val="bottom"/>
          </w:tcPr>
          <w:p w14:paraId="4D3A3A36" w14:textId="5BA2A4AA" w:rsidR="00685CD7" w:rsidRPr="00DE2572" w:rsidRDefault="00B603B7" w:rsidP="003A659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Tarifs</w:t>
            </w:r>
            <w:r w:rsidR="008665D9" w:rsidRPr="00DE2572">
              <w:rPr>
                <w:rFonts w:eastAsia="Times New Roman" w:cs="Times New Roman"/>
                <w:szCs w:val="24"/>
                <w:lang w:eastAsia="lv-LV"/>
              </w:rPr>
              <w:t xml:space="preserve"> (bez PVN)</w:t>
            </w:r>
          </w:p>
        </w:tc>
      </w:tr>
      <w:tr w:rsidR="00DE2572" w:rsidRPr="00DE2572" w14:paraId="133C1ACC" w14:textId="77777777" w:rsidTr="00AB3676">
        <w:trPr>
          <w:trHeight w:val="173"/>
        </w:trPr>
        <w:tc>
          <w:tcPr>
            <w:tcW w:w="930" w:type="dxa"/>
            <w:vMerge/>
            <w:shd w:val="clear" w:color="auto" w:fill="auto"/>
            <w:noWrap/>
            <w:vAlign w:val="center"/>
          </w:tcPr>
          <w:p w14:paraId="7F6A9E5C" w14:textId="64F7FE7D" w:rsidR="00685CD7" w:rsidRPr="00DE2572" w:rsidRDefault="00685CD7" w:rsidP="003A659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5869" w:type="dxa"/>
            <w:vMerge/>
            <w:shd w:val="clear" w:color="auto" w:fill="auto"/>
            <w:noWrap/>
            <w:vAlign w:val="center"/>
          </w:tcPr>
          <w:p w14:paraId="384A2B47" w14:textId="25E2DB71" w:rsidR="00685CD7" w:rsidRPr="00DE2572" w:rsidRDefault="00685CD7" w:rsidP="003A659F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Cs w:val="24"/>
                <w:lang w:eastAsia="lv-LV"/>
              </w:rPr>
            </w:pPr>
          </w:p>
        </w:tc>
        <w:tc>
          <w:tcPr>
            <w:tcW w:w="1535" w:type="dxa"/>
            <w:shd w:val="clear" w:color="auto" w:fill="auto"/>
            <w:vAlign w:val="bottom"/>
          </w:tcPr>
          <w:p w14:paraId="79ABF3B5" w14:textId="56286271" w:rsidR="00685CD7" w:rsidRPr="00AB3676" w:rsidRDefault="00685CD7" w:rsidP="003A659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AB3676">
              <w:rPr>
                <w:rFonts w:eastAsia="Times New Roman" w:cs="Times New Roman"/>
                <w:bCs/>
                <w:szCs w:val="24"/>
                <w:lang w:eastAsia="lv-LV"/>
              </w:rPr>
              <w:t>EUR/MWh</w:t>
            </w:r>
          </w:p>
        </w:tc>
        <w:tc>
          <w:tcPr>
            <w:tcW w:w="1055" w:type="dxa"/>
            <w:shd w:val="clear" w:color="auto" w:fill="auto"/>
            <w:vAlign w:val="bottom"/>
          </w:tcPr>
          <w:p w14:paraId="34EA1533" w14:textId="5C4318D6" w:rsidR="00685CD7" w:rsidRPr="00AB3676" w:rsidRDefault="00685CD7" w:rsidP="003A659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Cs w:val="24"/>
                <w:lang w:eastAsia="lv-LV"/>
              </w:rPr>
            </w:pPr>
            <w:r w:rsidRPr="00AB3676">
              <w:rPr>
                <w:rFonts w:eastAsia="Times New Roman" w:cs="Times New Roman"/>
                <w:bCs/>
                <w:szCs w:val="24"/>
                <w:lang w:eastAsia="lv-LV"/>
              </w:rPr>
              <w:t>EUR/m</w:t>
            </w:r>
            <w:r w:rsidRPr="00AB3676">
              <w:rPr>
                <w:rFonts w:eastAsia="Times New Roman" w:cs="Times New Roman"/>
                <w:bCs/>
                <w:szCs w:val="24"/>
                <w:vertAlign w:val="superscript"/>
                <w:lang w:eastAsia="lv-LV"/>
              </w:rPr>
              <w:t>2</w:t>
            </w:r>
          </w:p>
        </w:tc>
      </w:tr>
      <w:tr w:rsidR="003B42D5" w:rsidRPr="00DE2572" w14:paraId="2E4AD092" w14:textId="77777777" w:rsidTr="00AB3676">
        <w:trPr>
          <w:trHeight w:val="173"/>
        </w:trPr>
        <w:tc>
          <w:tcPr>
            <w:tcW w:w="930" w:type="dxa"/>
            <w:shd w:val="clear" w:color="auto" w:fill="auto"/>
            <w:noWrap/>
            <w:vAlign w:val="center"/>
          </w:tcPr>
          <w:p w14:paraId="2E4AD08C" w14:textId="77777777" w:rsidR="003B42D5" w:rsidRPr="00DE2572" w:rsidRDefault="003B42D5" w:rsidP="00AB3676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DE2572">
              <w:rPr>
                <w:rFonts w:eastAsia="Times New Roman" w:cs="Times New Roman"/>
                <w:szCs w:val="24"/>
                <w:lang w:eastAsia="lv-LV"/>
              </w:rPr>
              <w:t>1.</w:t>
            </w:r>
          </w:p>
        </w:tc>
        <w:tc>
          <w:tcPr>
            <w:tcW w:w="5869" w:type="dxa"/>
            <w:shd w:val="clear" w:color="auto" w:fill="auto"/>
            <w:noWrap/>
            <w:vAlign w:val="center"/>
          </w:tcPr>
          <w:p w14:paraId="2E4AD08D" w14:textId="77777777" w:rsidR="003B42D5" w:rsidRPr="00DE2572" w:rsidRDefault="003B42D5" w:rsidP="00AB3676">
            <w:pPr>
              <w:spacing w:before="100" w:beforeAutospacing="1"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DE2572">
              <w:rPr>
                <w:rFonts w:eastAsia="Times New Roman" w:cs="Times New Roman"/>
                <w:szCs w:val="24"/>
                <w:lang w:eastAsia="lv-LV"/>
              </w:rPr>
              <w:t>Saieta nams, Lietuvas iela-42, Eleja, Elejas pagasts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E4AD08F" w14:textId="7FEE64E5" w:rsidR="003B42D5" w:rsidRPr="00AB3676" w:rsidRDefault="00AB3676" w:rsidP="00AB3676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x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E4AD091" w14:textId="79809D88" w:rsidR="003B42D5" w:rsidRPr="00DE2572" w:rsidRDefault="00B603B7" w:rsidP="00AB3676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>
              <w:rPr>
                <w:rFonts w:eastAsia="Times New Roman" w:cs="Times New Roman"/>
                <w:szCs w:val="24"/>
                <w:lang w:eastAsia="lv-LV"/>
              </w:rPr>
              <w:t>1.50</w:t>
            </w:r>
          </w:p>
        </w:tc>
      </w:tr>
      <w:tr w:rsidR="003B42D5" w:rsidRPr="00690C7B" w14:paraId="2E4AD0A0" w14:textId="77777777" w:rsidTr="00AB3676">
        <w:trPr>
          <w:trHeight w:val="282"/>
        </w:trPr>
        <w:tc>
          <w:tcPr>
            <w:tcW w:w="930" w:type="dxa"/>
            <w:shd w:val="clear" w:color="auto" w:fill="auto"/>
            <w:noWrap/>
            <w:vAlign w:val="bottom"/>
          </w:tcPr>
          <w:p w14:paraId="2E4AD09A" w14:textId="751F74EC" w:rsidR="003B42D5" w:rsidRPr="00690C7B" w:rsidRDefault="003B42D5" w:rsidP="00AB3676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2</w:t>
            </w:r>
            <w:r w:rsidRPr="00690C7B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.</w:t>
            </w:r>
          </w:p>
        </w:tc>
        <w:tc>
          <w:tcPr>
            <w:tcW w:w="5869" w:type="dxa"/>
            <w:shd w:val="clear" w:color="auto" w:fill="auto"/>
            <w:noWrap/>
            <w:vAlign w:val="bottom"/>
          </w:tcPr>
          <w:p w14:paraId="2E4AD09B" w14:textId="77777777" w:rsidR="003B42D5" w:rsidRPr="00690C7B" w:rsidRDefault="003B42D5" w:rsidP="00AB3676">
            <w:pPr>
              <w:spacing w:before="100" w:beforeAutospacing="1"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690C7B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Pagasta pārvalde, Dārza iela -5, Eleja, Elejas pagasts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E4AD09D" w14:textId="0C5EE761" w:rsidR="003B42D5" w:rsidRPr="00AB3676" w:rsidRDefault="00AB3676" w:rsidP="00AB36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x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E4AD09F" w14:textId="4C630DCD" w:rsidR="003B42D5" w:rsidRPr="00690C7B" w:rsidRDefault="00B603B7" w:rsidP="00AB367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2.71</w:t>
            </w:r>
          </w:p>
        </w:tc>
      </w:tr>
      <w:tr w:rsidR="003B42D5" w:rsidRPr="003A659F" w14:paraId="283E5716" w14:textId="77777777" w:rsidTr="00AB3676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4005B" w14:textId="63318E01" w:rsidR="003B42D5" w:rsidRPr="00690C7B" w:rsidRDefault="003B42D5" w:rsidP="00AB3676">
            <w:pPr>
              <w:spacing w:before="100" w:beforeAutospacing="1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E68AC" w14:textId="097834F5" w:rsidR="003B42D5" w:rsidRPr="00690C7B" w:rsidRDefault="003B42D5" w:rsidP="00AB3676">
            <w:pPr>
              <w:spacing w:before="100" w:beforeAutospacing="1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„Jaunlīdumi”, Ievu iela12, Jaunsvirlaukas pagasts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BCFB" w14:textId="2067D91E" w:rsidR="003B42D5" w:rsidRPr="00AB3676" w:rsidRDefault="00AB3676" w:rsidP="00AB3676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8AB8" w14:textId="63A5C6AC" w:rsidR="003B42D5" w:rsidRPr="00690C7B" w:rsidRDefault="00B603B7" w:rsidP="00AB367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1.74</w:t>
            </w:r>
          </w:p>
        </w:tc>
      </w:tr>
      <w:tr w:rsidR="003B42D5" w:rsidRPr="003A659F" w14:paraId="4ACB8530" w14:textId="77777777" w:rsidTr="00AB3676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FC134" w14:textId="4AE48883" w:rsidR="003B42D5" w:rsidRPr="00690C7B" w:rsidRDefault="003B42D5" w:rsidP="00AB3676">
            <w:pPr>
              <w:spacing w:before="100" w:beforeAutospacing="1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3DC67" w14:textId="1C241CF4" w:rsidR="003B42D5" w:rsidRPr="00690C7B" w:rsidRDefault="003B42D5" w:rsidP="00AB3676">
            <w:pPr>
              <w:spacing w:before="100" w:beforeAutospacing="1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IKSC „Līdumi” filiāle „</w:t>
            </w:r>
            <w:r w:rsidRPr="00CE6774">
              <w:rPr>
                <w:color w:val="000000" w:themeColor="text1"/>
              </w:rPr>
              <w:t>Kraujas</w:t>
            </w:r>
            <w:r>
              <w:rPr>
                <w:color w:val="000000" w:themeColor="text1"/>
              </w:rPr>
              <w:t>”</w:t>
            </w:r>
            <w:r w:rsidRPr="00CE6774">
              <w:rPr>
                <w:color w:val="000000" w:themeColor="text1"/>
              </w:rPr>
              <w:t xml:space="preserve">, Svirlaukas </w:t>
            </w:r>
            <w:r>
              <w:rPr>
                <w:color w:val="000000" w:themeColor="text1"/>
              </w:rPr>
              <w:t xml:space="preserve">iela </w:t>
            </w:r>
            <w:r w:rsidRPr="00CE6774">
              <w:rPr>
                <w:color w:val="000000" w:themeColor="text1"/>
              </w:rPr>
              <w:t>22</w:t>
            </w:r>
            <w:r>
              <w:rPr>
                <w:color w:val="000000" w:themeColor="text1"/>
              </w:rPr>
              <w:t xml:space="preserve">, Staļģene, </w:t>
            </w:r>
            <w:r w:rsidRPr="00CE6774">
              <w:rPr>
                <w:color w:val="000000" w:themeColor="text1"/>
              </w:rPr>
              <w:t xml:space="preserve">Jaunsvirlaukas pagasts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D8A6" w14:textId="055BD352" w:rsidR="003B42D5" w:rsidRPr="00AB3676" w:rsidRDefault="00AB3676" w:rsidP="00AB3676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84EE" w14:textId="4610B18C" w:rsidR="003B42D5" w:rsidRPr="00690C7B" w:rsidRDefault="00B603B7" w:rsidP="00AB367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1.74</w:t>
            </w:r>
          </w:p>
        </w:tc>
      </w:tr>
      <w:tr w:rsidR="003B42D5" w:rsidRPr="003A659F" w14:paraId="3769D504" w14:textId="77777777" w:rsidTr="00AB3676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15D66" w14:textId="4869E8F5" w:rsidR="003B42D5" w:rsidRPr="00690C7B" w:rsidRDefault="003B42D5" w:rsidP="00AB3676">
            <w:pPr>
              <w:spacing w:before="100" w:beforeAutospacing="1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8FF87" w14:textId="1C27B44B" w:rsidR="003B42D5" w:rsidRPr="00690C7B" w:rsidRDefault="003B42D5" w:rsidP="00AB3676">
            <w:pPr>
              <w:spacing w:before="100" w:beforeAutospacing="1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Pagasta pārvaldes ēka</w:t>
            </w:r>
            <w:r w:rsidRPr="006B6E2B">
              <w:rPr>
                <w:color w:val="000000" w:themeColor="text1"/>
              </w:rPr>
              <w:t>,</w:t>
            </w:r>
            <w:r w:rsidR="00B603B7">
              <w:rPr>
                <w:color w:val="000000" w:themeColor="text1"/>
              </w:rPr>
              <w:t xml:space="preserve"> “Upeskrasti”,</w:t>
            </w:r>
            <w:r w:rsidRPr="006B6E2B">
              <w:rPr>
                <w:color w:val="000000" w:themeColor="text1"/>
              </w:rPr>
              <w:t xml:space="preserve"> Lielupes </w:t>
            </w:r>
            <w:r>
              <w:rPr>
                <w:color w:val="000000" w:themeColor="text1"/>
              </w:rPr>
              <w:t xml:space="preserve">iela </w:t>
            </w:r>
            <w:r w:rsidRPr="006B6E2B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, Staļģene, Jaunsvirlaukas pagasts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13E6" w14:textId="170885D3" w:rsidR="003B42D5" w:rsidRPr="00AB3676" w:rsidRDefault="00AB3676" w:rsidP="00AB3676">
            <w:pPr>
              <w:spacing w:after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C288" w14:textId="1CA6A320" w:rsidR="003B42D5" w:rsidRPr="00690C7B" w:rsidRDefault="00B603B7" w:rsidP="00AB3676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1.84</w:t>
            </w:r>
          </w:p>
        </w:tc>
      </w:tr>
      <w:tr w:rsidR="00B603B7" w:rsidRPr="003A659F" w14:paraId="38D5CDDB" w14:textId="77777777" w:rsidTr="00AB3676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85361" w14:textId="2BB12139" w:rsidR="00B603B7" w:rsidRDefault="00B603B7" w:rsidP="00AB3676">
            <w:pPr>
              <w:spacing w:before="100" w:beforeAutospacing="1" w:after="0"/>
              <w:jc w:val="center"/>
            </w:pPr>
            <w:r>
              <w:t>6.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3A9D9" w14:textId="50D8B840" w:rsidR="00B603B7" w:rsidRPr="001E683C" w:rsidRDefault="00B603B7" w:rsidP="00AB3676">
            <w:pPr>
              <w:spacing w:before="100" w:beforeAutospacing="1" w:after="0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Vircavas vsk. Lielvircavas filiāle, </w:t>
            </w:r>
            <w:r w:rsidRPr="00B603B7">
              <w:rPr>
                <w:rFonts w:eastAsia="Times New Roman" w:cs="Times New Roman"/>
                <w:color w:val="000000"/>
                <w:szCs w:val="24"/>
                <w:lang w:eastAsia="lv-LV"/>
              </w:rPr>
              <w:t>Lielvircavas iela 4A , Platones pag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asts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BC2D" w14:textId="2A97AAE2" w:rsidR="00B603B7" w:rsidRPr="00AB3676" w:rsidRDefault="00AB3676" w:rsidP="00AB367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FC18" w14:textId="729343F2" w:rsidR="00B603B7" w:rsidRPr="00363DAD" w:rsidRDefault="00B603B7" w:rsidP="00AB3676">
            <w:pPr>
              <w:spacing w:after="0"/>
              <w:jc w:val="center"/>
            </w:pPr>
            <w:r>
              <w:t>2.36</w:t>
            </w:r>
          </w:p>
        </w:tc>
      </w:tr>
      <w:tr w:rsidR="003B42D5" w:rsidRPr="003A659F" w14:paraId="686B4607" w14:textId="77777777" w:rsidTr="00AB3676">
        <w:trPr>
          <w:trHeight w:val="34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06CA6" w14:textId="503AB7DB" w:rsidR="003B42D5" w:rsidRPr="000812FE" w:rsidRDefault="00AB3676" w:rsidP="00AB3676">
            <w:pPr>
              <w:spacing w:after="0"/>
              <w:jc w:val="center"/>
            </w:pPr>
            <w:r>
              <w:t>7</w:t>
            </w:r>
            <w:r w:rsidR="003B42D5">
              <w:t>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4C178" w14:textId="12548C29" w:rsidR="003B42D5" w:rsidRPr="001E683C" w:rsidRDefault="003B42D5" w:rsidP="00AB3676">
            <w:pPr>
              <w:spacing w:after="0" w:line="240" w:lineRule="auto"/>
              <w:rPr>
                <w:color w:val="FF0000"/>
                <w:szCs w:val="24"/>
              </w:rPr>
            </w:pPr>
            <w:r w:rsidRPr="001E683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Sesavas </w:t>
            </w:r>
            <w:r w:rsidR="00B603B7">
              <w:rPr>
                <w:rFonts w:eastAsia="Times New Roman" w:cs="Times New Roman"/>
                <w:color w:val="000000"/>
                <w:szCs w:val="24"/>
                <w:lang w:eastAsia="lv-LV"/>
              </w:rPr>
              <w:t>katlu māja</w:t>
            </w:r>
            <w:r w:rsidRPr="001E683C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Skolas iela 12, </w:t>
            </w:r>
            <w:r w:rsidRPr="001E683C">
              <w:rPr>
                <w:rFonts w:eastAsia="Times New Roman" w:cs="Times New Roman"/>
                <w:color w:val="000000"/>
                <w:szCs w:val="24"/>
                <w:lang w:eastAsia="lv-LV"/>
              </w:rPr>
              <w:t>Sesavas pagasts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57C9" w14:textId="232E440F" w:rsidR="003B42D5" w:rsidRPr="00AB3676" w:rsidRDefault="00B603B7" w:rsidP="00AB3676">
            <w:pPr>
              <w:spacing w:after="0"/>
              <w:jc w:val="center"/>
              <w:rPr>
                <w:szCs w:val="24"/>
              </w:rPr>
            </w:pPr>
            <w:r w:rsidRPr="00AB3676">
              <w:rPr>
                <w:szCs w:val="24"/>
              </w:rPr>
              <w:t>88.28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B97F" w14:textId="39FB9031" w:rsidR="003B42D5" w:rsidRPr="00363DAD" w:rsidRDefault="00B603B7" w:rsidP="00AB3676">
            <w:pPr>
              <w:spacing w:after="0"/>
              <w:jc w:val="center"/>
            </w:pPr>
            <w:r>
              <w:t>2.25</w:t>
            </w:r>
          </w:p>
        </w:tc>
      </w:tr>
      <w:tr w:rsidR="003B42D5" w:rsidRPr="003A659F" w14:paraId="6F1B04B9" w14:textId="77777777" w:rsidTr="00AB3676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6EE6E" w14:textId="22248A69" w:rsidR="003B42D5" w:rsidRPr="000812FE" w:rsidRDefault="00AB3676" w:rsidP="00AB3676">
            <w:pPr>
              <w:spacing w:before="100" w:beforeAutospacing="1" w:after="0"/>
              <w:jc w:val="center"/>
            </w:pPr>
            <w:r>
              <w:t>8</w:t>
            </w:r>
            <w:r w:rsidR="003B42D5">
              <w:t>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5D3D1" w14:textId="6C7F2B44" w:rsidR="003B42D5" w:rsidRPr="000812FE" w:rsidRDefault="003B42D5" w:rsidP="00AB3676">
            <w:pPr>
              <w:spacing w:before="100" w:beforeAutospacing="1" w:after="0"/>
            </w:pPr>
            <w:r w:rsidRPr="000812FE">
              <w:t>Valgundes pagasta pārvaldes ēka</w:t>
            </w:r>
            <w:r w:rsidR="00AB3676">
              <w:t>,</w:t>
            </w:r>
            <w:r w:rsidRPr="000812FE">
              <w:t xml:space="preserve"> </w:t>
            </w:r>
            <w:r w:rsidR="00AB3676">
              <w:t xml:space="preserve"> Kalnciema vsk PII,</w:t>
            </w:r>
            <w:r w:rsidR="00AB3676" w:rsidRPr="000812FE">
              <w:t xml:space="preserve"> </w:t>
            </w:r>
            <w:r w:rsidRPr="000812FE">
              <w:t>''Avoti'',</w:t>
            </w:r>
            <w:r>
              <w:t xml:space="preserve"> </w:t>
            </w:r>
            <w:r w:rsidRPr="000812FE">
              <w:t>Valgundes pagasts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2C21" w14:textId="293D6BFC" w:rsidR="003B42D5" w:rsidRPr="00AB3676" w:rsidRDefault="00AB3676" w:rsidP="00AB367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309F" w14:textId="2D23C7D2" w:rsidR="003B42D5" w:rsidRPr="000812FE" w:rsidRDefault="00AB3676" w:rsidP="00AB3676">
            <w:pPr>
              <w:spacing w:after="0"/>
              <w:jc w:val="center"/>
            </w:pPr>
            <w:r>
              <w:t>1.46</w:t>
            </w:r>
          </w:p>
        </w:tc>
      </w:tr>
      <w:tr w:rsidR="003B42D5" w:rsidRPr="003A659F" w14:paraId="6D20FBE1" w14:textId="77777777" w:rsidTr="00AB3676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B5A60" w14:textId="6DBE78D3" w:rsidR="003B42D5" w:rsidRPr="00D23D68" w:rsidRDefault="00AB3676" w:rsidP="00AB3676">
            <w:pPr>
              <w:spacing w:before="100" w:beforeAutospacing="1" w:after="0"/>
              <w:jc w:val="center"/>
            </w:pPr>
            <w:r>
              <w:t>9</w:t>
            </w:r>
            <w:r w:rsidR="003B42D5">
              <w:t>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6DF21" w14:textId="7873C0E5" w:rsidR="003B42D5" w:rsidRPr="00D23D68" w:rsidRDefault="003B42D5" w:rsidP="00AB3676">
            <w:pPr>
              <w:spacing w:before="100" w:beforeAutospacing="1" w:after="0"/>
            </w:pPr>
            <w:r w:rsidRPr="00D23D68">
              <w:t xml:space="preserve">Ēka „Ārsta māja”, </w:t>
            </w:r>
            <w:r w:rsidR="00B603B7">
              <w:t xml:space="preserve">Tīreļi, </w:t>
            </w:r>
            <w:r w:rsidRPr="00D23D68">
              <w:t>Valgundes pagasts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0C4D" w14:textId="13F71EBD" w:rsidR="003B42D5" w:rsidRPr="00AB3676" w:rsidRDefault="00B603B7" w:rsidP="00AB3676">
            <w:pPr>
              <w:spacing w:after="0"/>
              <w:jc w:val="center"/>
              <w:rPr>
                <w:szCs w:val="24"/>
              </w:rPr>
            </w:pPr>
            <w:r w:rsidRPr="00AB3676">
              <w:rPr>
                <w:szCs w:val="24"/>
              </w:rPr>
              <w:t>141.60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659" w14:textId="2F9B98DB" w:rsidR="003B42D5" w:rsidRPr="00D23D68" w:rsidRDefault="00B603B7" w:rsidP="00AB3676">
            <w:pPr>
              <w:spacing w:after="0"/>
              <w:jc w:val="center"/>
            </w:pPr>
            <w:r>
              <w:t>3.61</w:t>
            </w:r>
          </w:p>
        </w:tc>
      </w:tr>
      <w:tr w:rsidR="003B42D5" w:rsidRPr="003A659F" w14:paraId="285E3070" w14:textId="77777777" w:rsidTr="00AB3676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112E6" w14:textId="3C699D70" w:rsidR="003B42D5" w:rsidRPr="00D23D68" w:rsidRDefault="00AB3676" w:rsidP="00AB3676">
            <w:pPr>
              <w:spacing w:before="100" w:beforeAutospacing="1" w:after="0"/>
              <w:jc w:val="center"/>
            </w:pPr>
            <w:r>
              <w:t>10</w:t>
            </w:r>
            <w:r w:rsidR="003B42D5">
              <w:t>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EB1D0" w14:textId="4A745C5B" w:rsidR="003B42D5" w:rsidRPr="00D23D68" w:rsidRDefault="003B42D5" w:rsidP="00AB3676">
            <w:pPr>
              <w:spacing w:before="100" w:beforeAutospacing="1" w:after="0"/>
            </w:pPr>
            <w:r>
              <w:rPr>
                <w:color w:val="000000"/>
              </w:rPr>
              <w:t xml:space="preserve">Vircavas </w:t>
            </w:r>
            <w:r w:rsidR="00AB3676">
              <w:rPr>
                <w:color w:val="000000"/>
              </w:rPr>
              <w:t>katlu māja, Jelgavas iela 4</w:t>
            </w:r>
            <w:r>
              <w:rPr>
                <w:color w:val="000000"/>
              </w:rPr>
              <w:t>,Vircavas pagasts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CEDC" w14:textId="726FD4A3" w:rsidR="003B42D5" w:rsidRPr="00AB3676" w:rsidRDefault="00AB3676" w:rsidP="00AB3676">
            <w:pPr>
              <w:spacing w:after="0"/>
              <w:jc w:val="center"/>
              <w:rPr>
                <w:szCs w:val="24"/>
              </w:rPr>
            </w:pPr>
            <w:r w:rsidRPr="00AB3676">
              <w:rPr>
                <w:szCs w:val="24"/>
              </w:rPr>
              <w:t>71.57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255D" w14:textId="2371B552" w:rsidR="003B42D5" w:rsidRPr="00D23D68" w:rsidRDefault="00AB3676" w:rsidP="00AB3676">
            <w:pPr>
              <w:spacing w:after="0"/>
              <w:jc w:val="center"/>
            </w:pPr>
            <w:r>
              <w:t>2.25</w:t>
            </w:r>
          </w:p>
        </w:tc>
      </w:tr>
      <w:tr w:rsidR="003B42D5" w:rsidRPr="003A659F" w14:paraId="2E4AD102" w14:textId="77777777" w:rsidTr="00AB3676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AD0FC" w14:textId="66D45F8E" w:rsidR="003B42D5" w:rsidRPr="00D23D68" w:rsidRDefault="003B42D5" w:rsidP="00AB3676">
            <w:pPr>
              <w:spacing w:before="100" w:beforeAutospacing="1" w:after="0"/>
              <w:jc w:val="center"/>
            </w:pPr>
            <w:r>
              <w:t>1</w:t>
            </w:r>
            <w:r w:rsidR="00AB3676">
              <w:t>1</w:t>
            </w:r>
            <w:r>
              <w:t>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AD0FD" w14:textId="3E281EC9" w:rsidR="003B42D5" w:rsidRPr="00D23D68" w:rsidRDefault="003B42D5" w:rsidP="00AB3676">
            <w:pPr>
              <w:spacing w:before="100" w:beforeAutospacing="1" w:after="0"/>
            </w:pPr>
            <w:r w:rsidRPr="00D23D68">
              <w:t xml:space="preserve">Zaļenieku </w:t>
            </w:r>
            <w:r w:rsidR="00AB3676">
              <w:t>KAVSK</w:t>
            </w:r>
            <w:r>
              <w:t>, dienesta viesnīca, Baznīcas iela 2</w:t>
            </w:r>
            <w:r w:rsidR="00AB3676">
              <w:t>, Zaļenieku pagasts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D0FF" w14:textId="0AC31925" w:rsidR="003B42D5" w:rsidRPr="00AB3676" w:rsidRDefault="00AB3676" w:rsidP="00AB367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D101" w14:textId="701F055D" w:rsidR="003B42D5" w:rsidRPr="00D23D68" w:rsidRDefault="00AB3676" w:rsidP="00AB3676">
            <w:pPr>
              <w:spacing w:after="0"/>
              <w:jc w:val="center"/>
            </w:pPr>
            <w:r>
              <w:t>1.81</w:t>
            </w:r>
          </w:p>
        </w:tc>
      </w:tr>
      <w:tr w:rsidR="003B42D5" w:rsidRPr="003A659F" w14:paraId="6E9066ED" w14:textId="77777777" w:rsidTr="00AB3676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E54ED" w14:textId="7469804B" w:rsidR="003B42D5" w:rsidRDefault="003B42D5" w:rsidP="00AB3676">
            <w:pPr>
              <w:spacing w:before="100" w:beforeAutospacing="1" w:after="0"/>
              <w:jc w:val="center"/>
            </w:pPr>
            <w:r>
              <w:t>1</w:t>
            </w:r>
            <w:r w:rsidR="00AB3676">
              <w:t>2</w:t>
            </w:r>
            <w:r>
              <w:t>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CE875" w14:textId="053C629E" w:rsidR="003B42D5" w:rsidRPr="00D23D68" w:rsidRDefault="003B42D5" w:rsidP="00AB3676">
            <w:pPr>
              <w:spacing w:before="100" w:beforeAutospacing="1" w:after="0"/>
            </w:pPr>
            <w:r>
              <w:t xml:space="preserve">Jēkabnieku kultūras nams, </w:t>
            </w:r>
            <w:r w:rsidRPr="004347E8">
              <w:t>Straumes iela 5, Svētes pagasts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9A9B" w14:textId="4A7726BB" w:rsidR="003B42D5" w:rsidRPr="00AB3676" w:rsidRDefault="00AB3676" w:rsidP="00AB367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1ECD" w14:textId="58AAA25B" w:rsidR="003B42D5" w:rsidRPr="00D23D68" w:rsidRDefault="00B603B7" w:rsidP="00AB3676">
            <w:pPr>
              <w:spacing w:after="0"/>
              <w:jc w:val="center"/>
            </w:pPr>
            <w:r>
              <w:t>1.54</w:t>
            </w:r>
          </w:p>
        </w:tc>
      </w:tr>
      <w:tr w:rsidR="003B42D5" w:rsidRPr="003A659F" w14:paraId="71A2B799" w14:textId="77777777" w:rsidTr="00AB3676">
        <w:trPr>
          <w:trHeight w:val="357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D59B" w14:textId="565B3601" w:rsidR="003B42D5" w:rsidRDefault="003B42D5" w:rsidP="00AB3676">
            <w:pPr>
              <w:spacing w:before="100" w:beforeAutospacing="1" w:after="0"/>
              <w:jc w:val="center"/>
            </w:pPr>
            <w:r>
              <w:t>1</w:t>
            </w:r>
            <w:r w:rsidR="00AB3676">
              <w:t>3</w:t>
            </w:r>
            <w:r>
              <w:t>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E89FA" w14:textId="69C83554" w:rsidR="003B42D5" w:rsidRDefault="003B42D5" w:rsidP="00AB3676">
            <w:pPr>
              <w:spacing w:before="100" w:beforeAutospacing="1" w:after="0"/>
            </w:pPr>
            <w:r>
              <w:t xml:space="preserve">Garozas pakalpojumu centrs, </w:t>
            </w:r>
            <w:r w:rsidR="00B603B7">
              <w:t>“</w:t>
            </w:r>
            <w:r>
              <w:t>Eži</w:t>
            </w:r>
            <w:r w:rsidR="00B603B7">
              <w:t>”</w:t>
            </w:r>
            <w:r>
              <w:t>, Salgales pagasts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2099" w14:textId="5433C588" w:rsidR="003B42D5" w:rsidRPr="00AB3676" w:rsidRDefault="00AB3676" w:rsidP="00AB367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732E" w14:textId="0EC512E6" w:rsidR="003B42D5" w:rsidRDefault="00B603B7" w:rsidP="00AB3676">
            <w:pPr>
              <w:spacing w:after="0"/>
              <w:jc w:val="center"/>
            </w:pPr>
            <w:r>
              <w:t>4.33</w:t>
            </w:r>
          </w:p>
        </w:tc>
      </w:tr>
      <w:tr w:rsidR="003B42D5" w:rsidRPr="003A659F" w14:paraId="6CD10746" w14:textId="77777777" w:rsidTr="00AB3676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6BD50" w14:textId="4F8A718C" w:rsidR="003B42D5" w:rsidRDefault="003B42D5" w:rsidP="00AB3676">
            <w:pPr>
              <w:spacing w:before="100" w:beforeAutospacing="1" w:after="0"/>
              <w:jc w:val="center"/>
            </w:pPr>
            <w:r>
              <w:t>1</w:t>
            </w:r>
            <w:r w:rsidR="00AB3676">
              <w:t>4</w:t>
            </w:r>
            <w:r>
              <w:t>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963E2" w14:textId="5E2A0ABB" w:rsidR="003B42D5" w:rsidRDefault="003B42D5" w:rsidP="00AB3676">
            <w:pPr>
              <w:spacing w:before="100" w:beforeAutospacing="1" w:after="0"/>
            </w:pPr>
            <w:r>
              <w:t>Vilces pamatskola, Madaru iela 2, Vilces pagasts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82F6" w14:textId="1EF57AF1" w:rsidR="003B42D5" w:rsidRPr="00AB3676" w:rsidRDefault="00AB3676" w:rsidP="00AB3676">
            <w:pPr>
              <w:spacing w:after="0"/>
              <w:jc w:val="center"/>
              <w:rPr>
                <w:szCs w:val="24"/>
              </w:rPr>
            </w:pPr>
            <w:r w:rsidRPr="00AB3676">
              <w:rPr>
                <w:szCs w:val="24"/>
              </w:rPr>
              <w:t>79.43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D123" w14:textId="02BE7309" w:rsidR="003B42D5" w:rsidRDefault="00AB3676" w:rsidP="00AB3676">
            <w:pPr>
              <w:spacing w:after="0"/>
              <w:jc w:val="center"/>
            </w:pPr>
            <w:r>
              <w:t>1.66</w:t>
            </w:r>
          </w:p>
        </w:tc>
      </w:tr>
      <w:tr w:rsidR="003B42D5" w:rsidRPr="003A659F" w14:paraId="6329D0C2" w14:textId="77777777" w:rsidTr="00AB3676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2B483" w14:textId="759EAF76" w:rsidR="003B42D5" w:rsidRDefault="003B42D5" w:rsidP="00AB3676">
            <w:pPr>
              <w:spacing w:before="100" w:beforeAutospacing="1" w:after="0"/>
              <w:jc w:val="center"/>
            </w:pPr>
            <w:r>
              <w:t>1</w:t>
            </w:r>
            <w:r w:rsidR="00AB3676">
              <w:t>5</w:t>
            </w:r>
            <w:r>
              <w:t>.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40E09" w14:textId="4E0B6231" w:rsidR="003B42D5" w:rsidRDefault="003B42D5" w:rsidP="00AB3676">
            <w:pPr>
              <w:spacing w:before="100" w:beforeAutospacing="1" w:after="0"/>
            </w:pPr>
            <w:r>
              <w:t>Lielplatones pamatskola- atbalsta centrs, Lielplatones pagasts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4044" w14:textId="18BA60D6" w:rsidR="003B42D5" w:rsidRPr="00AB3676" w:rsidRDefault="00B603B7" w:rsidP="00AB3676">
            <w:pPr>
              <w:spacing w:after="0"/>
              <w:jc w:val="center"/>
              <w:rPr>
                <w:szCs w:val="24"/>
              </w:rPr>
            </w:pPr>
            <w:r w:rsidRPr="00AB3676">
              <w:rPr>
                <w:szCs w:val="24"/>
              </w:rPr>
              <w:t>89.52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581C" w14:textId="2A0CECD0" w:rsidR="003B42D5" w:rsidRDefault="00B603B7" w:rsidP="00AB3676">
            <w:pPr>
              <w:spacing w:after="0"/>
              <w:jc w:val="center"/>
            </w:pPr>
            <w:r>
              <w:t>1.62</w:t>
            </w:r>
          </w:p>
        </w:tc>
      </w:tr>
    </w:tbl>
    <w:p w14:paraId="2E4AD136" w14:textId="711DB6A5" w:rsidR="00943085" w:rsidRPr="008348A7" w:rsidRDefault="008348A7" w:rsidP="008348A7">
      <w:pPr>
        <w:pStyle w:val="ListParagraph"/>
        <w:numPr>
          <w:ilvl w:val="0"/>
          <w:numId w:val="1"/>
        </w:numPr>
        <w:spacing w:before="60" w:after="0"/>
        <w:rPr>
          <w:rFonts w:eastAsia="Times New Roman" w:cs="Times New Roman"/>
          <w:bCs/>
          <w:color w:val="000000"/>
          <w:szCs w:val="24"/>
          <w:lang w:eastAsia="lv-LV"/>
        </w:rPr>
      </w:pPr>
      <w:r w:rsidRPr="008348A7">
        <w:rPr>
          <w:rFonts w:eastAsia="Times New Roman" w:cs="Times New Roman"/>
          <w:bCs/>
          <w:color w:val="000000"/>
          <w:szCs w:val="24"/>
          <w:lang w:eastAsia="lv-LV"/>
        </w:rPr>
        <w:t>Lēmums stājas spēkā 2024. gada 1. janvārī.</w:t>
      </w:r>
    </w:p>
    <w:p w14:paraId="4298C98A" w14:textId="6914DF54" w:rsidR="008348A7" w:rsidRPr="008348A7" w:rsidRDefault="008348A7" w:rsidP="008348A7">
      <w:pPr>
        <w:pStyle w:val="ListParagraph"/>
        <w:numPr>
          <w:ilvl w:val="0"/>
          <w:numId w:val="1"/>
        </w:numPr>
        <w:spacing w:before="60" w:after="0"/>
        <w:rPr>
          <w:rFonts w:eastAsia="Times New Roman" w:cs="Times New Roman"/>
          <w:bCs/>
          <w:color w:val="000000"/>
          <w:szCs w:val="24"/>
          <w:lang w:eastAsia="lv-LV"/>
        </w:rPr>
      </w:pPr>
      <w:r w:rsidRPr="008348A7">
        <w:rPr>
          <w:rFonts w:eastAsia="Times New Roman" w:cs="Times New Roman"/>
          <w:bCs/>
          <w:color w:val="000000"/>
          <w:szCs w:val="24"/>
          <w:lang w:eastAsia="lv-LV"/>
        </w:rPr>
        <w:t>Uzdot izpilddirektora vietniekam saimnieciskajos jautājumos nodrošināt lēmuma izpildi.</w:t>
      </w:r>
    </w:p>
    <w:p w14:paraId="2E4AD138" w14:textId="53CE43EA" w:rsidR="00943085" w:rsidRPr="00943085" w:rsidRDefault="00943085" w:rsidP="00943085">
      <w:pPr>
        <w:spacing w:after="0" w:line="240" w:lineRule="auto"/>
        <w:ind w:right="26"/>
        <w:jc w:val="both"/>
        <w:rPr>
          <w:rFonts w:eastAsia="Times New Roman" w:cs="Times New Roman"/>
          <w:szCs w:val="24"/>
          <w:lang w:eastAsia="lv-LV"/>
        </w:rPr>
      </w:pPr>
      <w:r w:rsidRPr="00943085">
        <w:rPr>
          <w:rFonts w:eastAsia="Times New Roman" w:cs="Times New Roman"/>
          <w:szCs w:val="24"/>
          <w:lang w:eastAsia="lv-LV"/>
        </w:rPr>
        <w:t>Priekšsēdētājs</w:t>
      </w:r>
      <w:r w:rsidRPr="00943085">
        <w:rPr>
          <w:rFonts w:eastAsia="Times New Roman" w:cs="Times New Roman"/>
          <w:szCs w:val="24"/>
          <w:lang w:eastAsia="lv-LV"/>
        </w:rPr>
        <w:tab/>
      </w:r>
      <w:r w:rsidRPr="00943085">
        <w:rPr>
          <w:rFonts w:eastAsia="Times New Roman" w:cs="Times New Roman"/>
          <w:szCs w:val="24"/>
          <w:lang w:eastAsia="lv-LV"/>
        </w:rPr>
        <w:tab/>
      </w:r>
      <w:r w:rsidRPr="00943085">
        <w:rPr>
          <w:rFonts w:eastAsia="Times New Roman" w:cs="Times New Roman"/>
          <w:szCs w:val="24"/>
          <w:lang w:eastAsia="lv-LV"/>
        </w:rPr>
        <w:tab/>
      </w:r>
      <w:r w:rsidRPr="00943085">
        <w:rPr>
          <w:rFonts w:eastAsia="Times New Roman" w:cs="Times New Roman"/>
          <w:szCs w:val="24"/>
          <w:lang w:eastAsia="lv-LV"/>
        </w:rPr>
        <w:tab/>
      </w:r>
      <w:r w:rsidRPr="00943085">
        <w:rPr>
          <w:rFonts w:eastAsia="Times New Roman" w:cs="Times New Roman"/>
          <w:szCs w:val="24"/>
          <w:lang w:eastAsia="lv-LV"/>
        </w:rPr>
        <w:tab/>
      </w:r>
      <w:r w:rsidRPr="00943085">
        <w:rPr>
          <w:rFonts w:eastAsia="Times New Roman" w:cs="Times New Roman"/>
          <w:szCs w:val="24"/>
          <w:lang w:eastAsia="lv-LV"/>
        </w:rPr>
        <w:tab/>
      </w:r>
      <w:r w:rsidRPr="00943085">
        <w:rPr>
          <w:rFonts w:eastAsia="Times New Roman" w:cs="Times New Roman"/>
          <w:szCs w:val="24"/>
          <w:lang w:eastAsia="lv-LV"/>
        </w:rPr>
        <w:tab/>
      </w:r>
      <w:r w:rsidRPr="00943085">
        <w:rPr>
          <w:rFonts w:eastAsia="Times New Roman" w:cs="Times New Roman"/>
          <w:szCs w:val="24"/>
          <w:lang w:eastAsia="lv-LV"/>
        </w:rPr>
        <w:tab/>
      </w:r>
      <w:r w:rsidR="00EE69B6">
        <w:rPr>
          <w:rFonts w:eastAsia="Times New Roman" w:cs="Times New Roman"/>
          <w:szCs w:val="24"/>
          <w:lang w:eastAsia="lv-LV"/>
        </w:rPr>
        <w:t>M.Lasmanis</w:t>
      </w:r>
    </w:p>
    <w:p w14:paraId="76090894" w14:textId="77777777" w:rsidR="00A360B6" w:rsidRDefault="00A360B6" w:rsidP="003A659F">
      <w:pPr>
        <w:spacing w:after="0" w:line="240" w:lineRule="auto"/>
        <w:ind w:right="26"/>
        <w:jc w:val="both"/>
        <w:rPr>
          <w:rFonts w:eastAsia="Times New Roman" w:cs="Times New Roman"/>
          <w:szCs w:val="24"/>
          <w:lang w:eastAsia="lv-LV"/>
        </w:rPr>
      </w:pPr>
    </w:p>
    <w:p w14:paraId="2E4AD13C" w14:textId="7DD7B214" w:rsidR="00841C7E" w:rsidRPr="001F6017" w:rsidRDefault="00B42B0D" w:rsidP="003A659F">
      <w:pPr>
        <w:spacing w:after="0" w:line="240" w:lineRule="auto"/>
        <w:ind w:right="26"/>
        <w:jc w:val="both"/>
        <w:rPr>
          <w:i/>
          <w:iCs/>
          <w:sz w:val="22"/>
          <w:szCs w:val="20"/>
        </w:rPr>
      </w:pPr>
      <w:r>
        <w:rPr>
          <w:rFonts w:eastAsia="Times New Roman" w:cs="Times New Roman"/>
          <w:i/>
          <w:iCs/>
          <w:szCs w:val="24"/>
          <w:lang w:eastAsia="lv-LV"/>
        </w:rPr>
        <w:t>Sagatavotājs: I.Zālītis</w:t>
      </w:r>
    </w:p>
    <w:sectPr w:rsidR="00841C7E" w:rsidRPr="001F6017" w:rsidSect="00AB3676">
      <w:pgSz w:w="11906" w:h="16838"/>
      <w:pgMar w:top="1440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12D78"/>
    <w:multiLevelType w:val="hybridMultilevel"/>
    <w:tmpl w:val="E9424200"/>
    <w:lvl w:ilvl="0" w:tplc="FA204498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2099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85"/>
    <w:rsid w:val="00000A7B"/>
    <w:rsid w:val="00002442"/>
    <w:rsid w:val="000103E8"/>
    <w:rsid w:val="00022B6C"/>
    <w:rsid w:val="00070DA3"/>
    <w:rsid w:val="000776F9"/>
    <w:rsid w:val="000812FE"/>
    <w:rsid w:val="000945C9"/>
    <w:rsid w:val="000A14BF"/>
    <w:rsid w:val="000A50D0"/>
    <w:rsid w:val="000A57B0"/>
    <w:rsid w:val="000E3905"/>
    <w:rsid w:val="000F50B4"/>
    <w:rsid w:val="00112846"/>
    <w:rsid w:val="0012751A"/>
    <w:rsid w:val="001457AD"/>
    <w:rsid w:val="00154D35"/>
    <w:rsid w:val="0016296C"/>
    <w:rsid w:val="00172539"/>
    <w:rsid w:val="001845BE"/>
    <w:rsid w:val="001875F1"/>
    <w:rsid w:val="00197AA3"/>
    <w:rsid w:val="001C1B24"/>
    <w:rsid w:val="001E23B8"/>
    <w:rsid w:val="001E5C2A"/>
    <w:rsid w:val="001E683C"/>
    <w:rsid w:val="001F0600"/>
    <w:rsid w:val="001F34AA"/>
    <w:rsid w:val="001F6017"/>
    <w:rsid w:val="00204335"/>
    <w:rsid w:val="00214A71"/>
    <w:rsid w:val="002162C6"/>
    <w:rsid w:val="00221A06"/>
    <w:rsid w:val="00237273"/>
    <w:rsid w:val="00265CDE"/>
    <w:rsid w:val="00282F02"/>
    <w:rsid w:val="00297AEC"/>
    <w:rsid w:val="002A3375"/>
    <w:rsid w:val="002B4E17"/>
    <w:rsid w:val="002C0461"/>
    <w:rsid w:val="002C335A"/>
    <w:rsid w:val="002F4F7F"/>
    <w:rsid w:val="002F7E94"/>
    <w:rsid w:val="00302CB9"/>
    <w:rsid w:val="00303594"/>
    <w:rsid w:val="00310234"/>
    <w:rsid w:val="0032051D"/>
    <w:rsid w:val="00332638"/>
    <w:rsid w:val="0034486B"/>
    <w:rsid w:val="0035074C"/>
    <w:rsid w:val="003516FE"/>
    <w:rsid w:val="00363DAD"/>
    <w:rsid w:val="00366D1F"/>
    <w:rsid w:val="003743E8"/>
    <w:rsid w:val="00391490"/>
    <w:rsid w:val="00395451"/>
    <w:rsid w:val="003A0EFB"/>
    <w:rsid w:val="003A659F"/>
    <w:rsid w:val="003B42D5"/>
    <w:rsid w:val="0040755A"/>
    <w:rsid w:val="0041176E"/>
    <w:rsid w:val="004347E8"/>
    <w:rsid w:val="00437E75"/>
    <w:rsid w:val="00492778"/>
    <w:rsid w:val="004965CA"/>
    <w:rsid w:val="004976E3"/>
    <w:rsid w:val="004A5034"/>
    <w:rsid w:val="004C3A83"/>
    <w:rsid w:val="004D3FB4"/>
    <w:rsid w:val="004E12F8"/>
    <w:rsid w:val="004E216A"/>
    <w:rsid w:val="00503FA8"/>
    <w:rsid w:val="00540337"/>
    <w:rsid w:val="005817EC"/>
    <w:rsid w:val="0058299E"/>
    <w:rsid w:val="00597025"/>
    <w:rsid w:val="005B654D"/>
    <w:rsid w:val="005F76F2"/>
    <w:rsid w:val="00617106"/>
    <w:rsid w:val="006204F5"/>
    <w:rsid w:val="00642911"/>
    <w:rsid w:val="00663929"/>
    <w:rsid w:val="00670EA6"/>
    <w:rsid w:val="00685CD7"/>
    <w:rsid w:val="00690C7B"/>
    <w:rsid w:val="006A0DF1"/>
    <w:rsid w:val="006B2CB6"/>
    <w:rsid w:val="006B6E2B"/>
    <w:rsid w:val="006B7BA1"/>
    <w:rsid w:val="006C1208"/>
    <w:rsid w:val="006C62BC"/>
    <w:rsid w:val="006D6ECB"/>
    <w:rsid w:val="006D7B1D"/>
    <w:rsid w:val="007100B1"/>
    <w:rsid w:val="00711500"/>
    <w:rsid w:val="0071491D"/>
    <w:rsid w:val="00716A22"/>
    <w:rsid w:val="00724A82"/>
    <w:rsid w:val="00735C03"/>
    <w:rsid w:val="007370B4"/>
    <w:rsid w:val="007621AE"/>
    <w:rsid w:val="0076321C"/>
    <w:rsid w:val="0077160D"/>
    <w:rsid w:val="00772D49"/>
    <w:rsid w:val="00773660"/>
    <w:rsid w:val="00777EBC"/>
    <w:rsid w:val="00785AE0"/>
    <w:rsid w:val="007A2C06"/>
    <w:rsid w:val="007A2E6E"/>
    <w:rsid w:val="007B0050"/>
    <w:rsid w:val="007B2BD8"/>
    <w:rsid w:val="007C524C"/>
    <w:rsid w:val="007E5D09"/>
    <w:rsid w:val="007E7DBF"/>
    <w:rsid w:val="007F03A8"/>
    <w:rsid w:val="007F3BC4"/>
    <w:rsid w:val="008005AF"/>
    <w:rsid w:val="008345B2"/>
    <w:rsid w:val="008348A7"/>
    <w:rsid w:val="00841C7E"/>
    <w:rsid w:val="008564B0"/>
    <w:rsid w:val="008665D9"/>
    <w:rsid w:val="008A1C4E"/>
    <w:rsid w:val="008D11FC"/>
    <w:rsid w:val="008F569D"/>
    <w:rsid w:val="009039D5"/>
    <w:rsid w:val="00925260"/>
    <w:rsid w:val="00943085"/>
    <w:rsid w:val="00965745"/>
    <w:rsid w:val="00970C80"/>
    <w:rsid w:val="00985DBD"/>
    <w:rsid w:val="009A3714"/>
    <w:rsid w:val="009A5F77"/>
    <w:rsid w:val="009D1D44"/>
    <w:rsid w:val="009D34CD"/>
    <w:rsid w:val="009D53C8"/>
    <w:rsid w:val="009E7BAD"/>
    <w:rsid w:val="00A360B6"/>
    <w:rsid w:val="00A6542A"/>
    <w:rsid w:val="00A74B8C"/>
    <w:rsid w:val="00A80432"/>
    <w:rsid w:val="00A90E52"/>
    <w:rsid w:val="00AA240A"/>
    <w:rsid w:val="00AB3676"/>
    <w:rsid w:val="00AC38CF"/>
    <w:rsid w:val="00AC5F17"/>
    <w:rsid w:val="00AE15EB"/>
    <w:rsid w:val="00AE2356"/>
    <w:rsid w:val="00AE615B"/>
    <w:rsid w:val="00B33E0F"/>
    <w:rsid w:val="00B343A2"/>
    <w:rsid w:val="00B42B0D"/>
    <w:rsid w:val="00B50790"/>
    <w:rsid w:val="00B603B7"/>
    <w:rsid w:val="00B71F82"/>
    <w:rsid w:val="00B76FC5"/>
    <w:rsid w:val="00BA09E2"/>
    <w:rsid w:val="00BA3EB2"/>
    <w:rsid w:val="00BD0BC8"/>
    <w:rsid w:val="00BE3817"/>
    <w:rsid w:val="00BE4643"/>
    <w:rsid w:val="00C135F3"/>
    <w:rsid w:val="00C24D60"/>
    <w:rsid w:val="00C505E5"/>
    <w:rsid w:val="00C57F5E"/>
    <w:rsid w:val="00C76924"/>
    <w:rsid w:val="00CB0CBF"/>
    <w:rsid w:val="00CB6122"/>
    <w:rsid w:val="00CE6774"/>
    <w:rsid w:val="00CE7B1B"/>
    <w:rsid w:val="00D23D68"/>
    <w:rsid w:val="00D27F9F"/>
    <w:rsid w:val="00D40E3B"/>
    <w:rsid w:val="00D7125C"/>
    <w:rsid w:val="00D719B7"/>
    <w:rsid w:val="00D82CAA"/>
    <w:rsid w:val="00D91A1D"/>
    <w:rsid w:val="00DB4DC7"/>
    <w:rsid w:val="00DE2572"/>
    <w:rsid w:val="00E140D4"/>
    <w:rsid w:val="00E24F5A"/>
    <w:rsid w:val="00E427D3"/>
    <w:rsid w:val="00E4721C"/>
    <w:rsid w:val="00E81C79"/>
    <w:rsid w:val="00E92F15"/>
    <w:rsid w:val="00EA543C"/>
    <w:rsid w:val="00EB5C3B"/>
    <w:rsid w:val="00ED1FE8"/>
    <w:rsid w:val="00EE69B6"/>
    <w:rsid w:val="00EF7FD5"/>
    <w:rsid w:val="00F036ED"/>
    <w:rsid w:val="00F21169"/>
    <w:rsid w:val="00F25094"/>
    <w:rsid w:val="00F37299"/>
    <w:rsid w:val="00F40A2D"/>
    <w:rsid w:val="00F55909"/>
    <w:rsid w:val="00F768F5"/>
    <w:rsid w:val="00F95458"/>
    <w:rsid w:val="00FC2818"/>
    <w:rsid w:val="00FD00B5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D076"/>
  <w15:docId w15:val="{A422B3D7-4F45-46C2-BAEB-C19B1500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BA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97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0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0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76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4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Agita Slekste</dc:creator>
  <cp:lastModifiedBy>Svetlana Krumina</cp:lastModifiedBy>
  <cp:revision>8</cp:revision>
  <cp:lastPrinted>2020-09-15T11:12:00Z</cp:lastPrinted>
  <dcterms:created xsi:type="dcterms:W3CDTF">2023-12-07T12:25:00Z</dcterms:created>
  <dcterms:modified xsi:type="dcterms:W3CDTF">2023-12-11T11:16:00Z</dcterms:modified>
</cp:coreProperties>
</file>