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709D7" w14:textId="77777777" w:rsidR="00BE1FF9" w:rsidRPr="00A72A1B" w:rsidRDefault="00BE1FF9" w:rsidP="00BE1FF9">
      <w:pPr>
        <w:spacing w:line="274" w:lineRule="exact"/>
        <w:ind w:left="550" w:hanging="323"/>
        <w:jc w:val="center"/>
        <w:rPr>
          <w:b/>
          <w:caps/>
        </w:rPr>
      </w:pPr>
      <w:r w:rsidRPr="00A72A1B">
        <w:rPr>
          <w:b/>
          <w:caps/>
        </w:rPr>
        <w:t>Paskaidrojuma raksts</w:t>
      </w:r>
    </w:p>
    <w:p w14:paraId="4694258B" w14:textId="3C71203C" w:rsidR="005D6DFA" w:rsidRDefault="005D6DFA" w:rsidP="005613F0">
      <w:pPr>
        <w:shd w:val="clear" w:color="auto" w:fill="FFFFFF"/>
        <w:tabs>
          <w:tab w:val="left" w:pos="567"/>
        </w:tabs>
        <w:jc w:val="center"/>
        <w:rPr>
          <w:b/>
          <w:bCs/>
        </w:rPr>
      </w:pPr>
    </w:p>
    <w:p w14:paraId="093F9C17" w14:textId="27918C47" w:rsidR="005D6DFA" w:rsidRPr="009C730F" w:rsidRDefault="005D6DFA" w:rsidP="005D6DFA">
      <w:pPr>
        <w:autoSpaceDE w:val="0"/>
        <w:autoSpaceDN w:val="0"/>
        <w:adjustRightInd w:val="0"/>
        <w:ind w:right="-52"/>
        <w:rPr>
          <w:b/>
        </w:rPr>
      </w:pPr>
      <w:r w:rsidRPr="00D37ACD">
        <w:rPr>
          <w:b/>
        </w:rPr>
        <w:t xml:space="preserve">Par </w:t>
      </w:r>
      <w:r w:rsidR="00296C05">
        <w:rPr>
          <w:b/>
        </w:rPr>
        <w:t xml:space="preserve">Jelgavas novada </w:t>
      </w:r>
      <w:r w:rsidR="001C3142">
        <w:rPr>
          <w:b/>
        </w:rPr>
        <w:t>pašvaldības</w:t>
      </w:r>
      <w:r w:rsidR="00296C05">
        <w:rPr>
          <w:b/>
        </w:rPr>
        <w:t xml:space="preserve"> </w:t>
      </w:r>
      <w:r>
        <w:rPr>
          <w:b/>
        </w:rPr>
        <w:t>202</w:t>
      </w:r>
      <w:r w:rsidR="00D542ED">
        <w:rPr>
          <w:b/>
        </w:rPr>
        <w:t>4</w:t>
      </w:r>
      <w:r>
        <w:rPr>
          <w:b/>
        </w:rPr>
        <w:t xml:space="preserve">. gada ____________ </w:t>
      </w:r>
      <w:r w:rsidRPr="00D37ACD">
        <w:rPr>
          <w:b/>
        </w:rPr>
        <w:t>saistoš</w:t>
      </w:r>
      <w:r>
        <w:rPr>
          <w:b/>
        </w:rPr>
        <w:t>ajiem</w:t>
      </w:r>
      <w:r w:rsidRPr="00D37ACD">
        <w:rPr>
          <w:b/>
        </w:rPr>
        <w:t xml:space="preserve"> noteikum</w:t>
      </w:r>
      <w:r>
        <w:rPr>
          <w:b/>
        </w:rPr>
        <w:t>iem</w:t>
      </w:r>
      <w:r w:rsidRPr="00D37ACD">
        <w:rPr>
          <w:b/>
        </w:rPr>
        <w:t xml:space="preserve"> Nr.</w:t>
      </w:r>
      <w:r>
        <w:rPr>
          <w:b/>
        </w:rPr>
        <w:t xml:space="preserve">_____ </w:t>
      </w:r>
      <w:r w:rsidRPr="00D37ACD">
        <w:rPr>
          <w:b/>
        </w:rPr>
        <w:t>„</w:t>
      </w:r>
      <w:r w:rsidR="00D542ED" w:rsidRPr="00D542ED">
        <w:rPr>
          <w:b/>
          <w:bCs/>
        </w:rPr>
        <w:t xml:space="preserve"> </w:t>
      </w:r>
      <w:r w:rsidR="00296C05" w:rsidRPr="00E6662A">
        <w:rPr>
          <w:b/>
        </w:rPr>
        <w:t xml:space="preserve">Grozījumi </w:t>
      </w:r>
      <w:r w:rsidR="00296C05" w:rsidRPr="00E6662A">
        <w:rPr>
          <w:b/>
          <w:bCs/>
          <w:lang w:val="et-EE"/>
        </w:rPr>
        <w:t xml:space="preserve">Jelgavas novada </w:t>
      </w:r>
      <w:r w:rsidR="001C3142">
        <w:rPr>
          <w:b/>
          <w:bCs/>
          <w:lang w:val="et-EE"/>
        </w:rPr>
        <w:t>pašvaldības</w:t>
      </w:r>
      <w:r w:rsidR="00296C05" w:rsidRPr="00E6662A">
        <w:rPr>
          <w:b/>
          <w:bCs/>
          <w:lang w:val="et-EE"/>
        </w:rPr>
        <w:t xml:space="preserve"> 2024.gada 29.maija saistošajos noteikumos Nr.9 </w:t>
      </w:r>
      <w:r w:rsidR="00296C05" w:rsidRPr="00E6662A">
        <w:rPr>
          <w:b/>
          <w:bCs/>
        </w:rPr>
        <w:t>“</w:t>
      </w:r>
      <w:bookmarkStart w:id="0" w:name="_Hlk177048157"/>
      <w:r w:rsidR="00296C05" w:rsidRPr="00E6662A">
        <w:rPr>
          <w:b/>
          <w:bCs/>
        </w:rPr>
        <w:t>Sportistu un sporta spēļu komandu atbalstam paredzēto pašvaldības budžeta līdzekļu sadales kārtība Jelgavas novadā</w:t>
      </w:r>
      <w:bookmarkEnd w:id="0"/>
      <w:r w:rsidRPr="009C730F">
        <w:rPr>
          <w:b/>
          <w:color w:val="000000"/>
        </w:rPr>
        <w:t xml:space="preserve">” </w:t>
      </w:r>
    </w:p>
    <w:p w14:paraId="6853CAB6" w14:textId="77777777" w:rsidR="005D6DFA" w:rsidRDefault="005D6DFA" w:rsidP="005D6DFA">
      <w:pPr>
        <w:rPr>
          <w:b/>
        </w:rPr>
      </w:pPr>
    </w:p>
    <w:tbl>
      <w:tblPr>
        <w:tblW w:w="503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26"/>
        <w:gridCol w:w="6202"/>
      </w:tblGrid>
      <w:tr w:rsidR="002E3B81" w:rsidRPr="002E3B81" w14:paraId="5177ECB1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5E1" w14:textId="77777777" w:rsidR="00BE1FF9" w:rsidRPr="002E3B81" w:rsidRDefault="00BE1FF9" w:rsidP="002E3B8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bookmarkStart w:id="1" w:name="_Hlk163563475"/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Paskaidrojuma raksta sadaļas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F16" w14:textId="77777777" w:rsidR="00BE1FF9" w:rsidRPr="002E3B81" w:rsidRDefault="00BE1FF9" w:rsidP="002E3B8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Norādāmā informācija</w:t>
            </w:r>
          </w:p>
        </w:tc>
      </w:tr>
      <w:tr w:rsidR="002E3B81" w:rsidRPr="002E3B81" w14:paraId="2E2A8C8B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AAA" w14:textId="04924361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1.Mēķis un nepieciešamības pamatojums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717" w14:textId="77777777" w:rsidR="00BA3F26" w:rsidRDefault="000D7400" w:rsidP="00296C0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C05">
              <w:rPr>
                <w:rFonts w:ascii="Times New Roman" w:hAnsi="Times New Roman"/>
                <w:color w:val="auto"/>
                <w:sz w:val="24"/>
                <w:szCs w:val="24"/>
              </w:rPr>
              <w:t>Saistošo noteikumu mērķis ir</w:t>
            </w:r>
            <w:r w:rsidR="00296C05" w:rsidRPr="00296C0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precizēt 2024.gada 29.maija </w:t>
            </w:r>
            <w:r w:rsidR="00296C05" w:rsidRPr="00296C05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 xml:space="preserve">saistošos noteikumos Nr.9 </w:t>
            </w:r>
            <w:r w:rsidR="00296C05" w:rsidRPr="00296C05">
              <w:rPr>
                <w:rFonts w:ascii="Times New Roman" w:hAnsi="Times New Roman"/>
                <w:color w:val="auto"/>
                <w:sz w:val="24"/>
                <w:szCs w:val="24"/>
              </w:rPr>
              <w:t>“Sportistu un sporta spēļu komandu atbalstam paredzēto pašvaldības budžeta līdzekļu sadales kārtība Jelgavas novadā</w:t>
            </w:r>
            <w:r w:rsidR="00296C05">
              <w:rPr>
                <w:rFonts w:ascii="Times New Roman" w:hAnsi="Times New Roman"/>
                <w:color w:val="auto"/>
                <w:sz w:val="24"/>
                <w:szCs w:val="24"/>
              </w:rPr>
              <w:t>”</w:t>
            </w:r>
            <w:r w:rsidR="00BA3F2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19174E7B" w14:textId="4C45A635" w:rsidR="000D7400" w:rsidRPr="00296C05" w:rsidRDefault="00BA3F26" w:rsidP="00296C0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Nepieciešamības pamatojums – precīza, nepārprotama kritēriju izstrāde pašvaldības budžeta līdzekļu sadalei sportistu un sporta spēļu komandu atbalstam.</w:t>
            </w:r>
          </w:p>
        </w:tc>
      </w:tr>
      <w:tr w:rsidR="002E3B81" w:rsidRPr="002E3B81" w14:paraId="4203FE8E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B24" w14:textId="62F20200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2. Fiskālā ietekme uz pašvaldības budžetu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29A" w14:textId="77777777" w:rsidR="00BA3F26" w:rsidRDefault="00BA3F26" w:rsidP="003E69A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Jelgavas</w:t>
            </w:r>
            <w:r w:rsidRPr="006D047C">
              <w:rPr>
                <w:rFonts w:eastAsia="Calibri"/>
                <w:lang w:eastAsia="en-US"/>
              </w:rPr>
              <w:t xml:space="preserve"> novada pašvaldība jau sniedz finansiālu atbalstu sporta veicināšanai </w:t>
            </w:r>
            <w:r>
              <w:rPr>
                <w:rFonts w:eastAsia="Calibri"/>
                <w:lang w:eastAsia="en-US"/>
              </w:rPr>
              <w:t>Jelgavas</w:t>
            </w:r>
            <w:r w:rsidRPr="006D047C">
              <w:rPr>
                <w:rFonts w:eastAsia="Calibri"/>
                <w:lang w:eastAsia="en-US"/>
              </w:rPr>
              <w:t xml:space="preserve"> novadā, līdz ar to palielināta papildus ietekme uz </w:t>
            </w:r>
            <w:r>
              <w:rPr>
                <w:rFonts w:eastAsia="Calibri"/>
                <w:lang w:eastAsia="en-US"/>
              </w:rPr>
              <w:t xml:space="preserve">2024.gada </w:t>
            </w:r>
            <w:r w:rsidRPr="006D047C">
              <w:rPr>
                <w:rFonts w:eastAsia="Calibri"/>
                <w:lang w:eastAsia="en-US"/>
              </w:rPr>
              <w:t>pašvaldības budžetu nav plānota.</w:t>
            </w:r>
          </w:p>
          <w:p w14:paraId="2B2B951B" w14:textId="7879D345" w:rsidR="000D7400" w:rsidRPr="002E3B81" w:rsidRDefault="00BA3F26" w:rsidP="003E69A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Turpmākos gados </w:t>
            </w:r>
            <w:r w:rsidR="003E69A4">
              <w:rPr>
                <w:rFonts w:eastAsia="Calibri"/>
                <w:lang w:eastAsia="en-US"/>
              </w:rPr>
              <w:t>Jelgavas</w:t>
            </w:r>
            <w:r w:rsidR="003E69A4" w:rsidRPr="006D047C">
              <w:rPr>
                <w:rFonts w:eastAsia="Calibri"/>
                <w:lang w:eastAsia="en-US"/>
              </w:rPr>
              <w:t xml:space="preserve"> novada pašvaldība</w:t>
            </w:r>
            <w:r w:rsidR="003E69A4">
              <w:rPr>
                <w:rFonts w:eastAsia="Calibri"/>
                <w:lang w:eastAsia="en-US"/>
              </w:rPr>
              <w:t>s</w:t>
            </w:r>
            <w:r w:rsidR="003E69A4" w:rsidRPr="006D047C">
              <w:rPr>
                <w:rFonts w:eastAsia="Calibri"/>
                <w:lang w:eastAsia="en-US"/>
              </w:rPr>
              <w:t xml:space="preserve"> finansiālā atbalsta apmēru nosaka </w:t>
            </w:r>
            <w:r w:rsidR="003E69A4">
              <w:rPr>
                <w:rFonts w:eastAsia="Calibri"/>
                <w:lang w:eastAsia="en-US"/>
              </w:rPr>
              <w:t>Jelgavas</w:t>
            </w:r>
            <w:r w:rsidR="003E69A4" w:rsidRPr="006D047C">
              <w:rPr>
                <w:rFonts w:eastAsia="Calibri"/>
                <w:lang w:eastAsia="en-US"/>
              </w:rPr>
              <w:t xml:space="preserve"> novada dome attiecīgā gada pašvaldības budžetā. </w:t>
            </w:r>
          </w:p>
        </w:tc>
      </w:tr>
      <w:tr w:rsidR="002E3B81" w:rsidRPr="002E3B81" w14:paraId="470114C0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1DF" w14:textId="275C40E0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3. </w:t>
            </w: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50C" w14:textId="589E5830" w:rsidR="000D7400" w:rsidRPr="002E3B81" w:rsidRDefault="000D7400" w:rsidP="002E3B81">
            <w:r w:rsidRPr="002E3B81">
              <w:t xml:space="preserve">3.1. Sociālā ietekme </w:t>
            </w:r>
            <w:r w:rsidR="0003212B">
              <w:t>–</w:t>
            </w:r>
            <w:r w:rsidRPr="002E3B81">
              <w:t xml:space="preserve"> </w:t>
            </w:r>
            <w:r w:rsidR="0003212B">
              <w:t>ir, tiks veicināta sporta attīstība</w:t>
            </w:r>
            <w:r w:rsidRPr="002E3B81">
              <w:t>.</w:t>
            </w:r>
          </w:p>
          <w:p w14:paraId="3EA34BFF" w14:textId="77777777" w:rsidR="000D7400" w:rsidRPr="002E3B81" w:rsidRDefault="000D7400" w:rsidP="002E3B81">
            <w:r w:rsidRPr="002E3B81">
              <w:t>3.2. Ietekme uz vidi - nav.</w:t>
            </w:r>
          </w:p>
          <w:p w14:paraId="19A738ED" w14:textId="68DE1931" w:rsidR="000D7400" w:rsidRPr="002E3B81" w:rsidRDefault="000D7400" w:rsidP="002E3B81">
            <w:r w:rsidRPr="002E3B81">
              <w:t xml:space="preserve">3.3. Ietekme uz iedzīvotāju veselību - </w:t>
            </w:r>
            <w:r w:rsidR="00FA4E11">
              <w:t>pozitīva</w:t>
            </w:r>
            <w:r w:rsidRPr="002E3B81">
              <w:t>.</w:t>
            </w:r>
          </w:p>
          <w:p w14:paraId="6AEAA677" w14:textId="203E3CBA" w:rsidR="000D7400" w:rsidRPr="002E3B81" w:rsidRDefault="000D7400" w:rsidP="003E69A4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3.4. </w:t>
            </w:r>
            <w:r w:rsidRPr="00BD4ABF">
              <w:rPr>
                <w:rFonts w:ascii="Times New Roman" w:hAnsi="Times New Roman"/>
                <w:color w:val="auto"/>
                <w:sz w:val="24"/>
                <w:szCs w:val="24"/>
              </w:rPr>
              <w:t>Ietekme uz uzņēmējdarbības vidi pašvaldības teritorijā, konkurenci - nav.</w:t>
            </w:r>
          </w:p>
        </w:tc>
      </w:tr>
      <w:tr w:rsidR="002E3B81" w:rsidRPr="002E3B81" w14:paraId="159CCA0D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6AF" w14:textId="60BB8D24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4. Ietekme uz administratīvajām procedūrām un to izmaksām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BD" w14:textId="574919F6" w:rsidR="000D7400" w:rsidRPr="001C1F71" w:rsidRDefault="005D4E14" w:rsidP="00E77AB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Saistošo n</w:t>
            </w:r>
            <w:r w:rsidR="001C1F71" w:rsidRPr="001C1F7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oteikumu izpildes nodrošināšanai n</w:t>
            </w:r>
            <w:r w:rsidR="003E69A4" w:rsidRPr="001C1F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av paredzētas administratīvo procedūru izmaksas.</w:t>
            </w:r>
          </w:p>
        </w:tc>
      </w:tr>
      <w:tr w:rsidR="002E3B81" w:rsidRPr="002E3B81" w14:paraId="6F28561B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7F6" w14:textId="06AD3028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5. Ietekme uz pašvaldības funkcijām un cilvēkresursiem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CE3" w14:textId="09C6D181" w:rsidR="000D7400" w:rsidRPr="001C1F71" w:rsidRDefault="005D4E14" w:rsidP="002E3B8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Saistošo n</w:t>
            </w:r>
            <w:r w:rsidR="001C1F71" w:rsidRPr="001C1F71">
              <w:rPr>
                <w:rFonts w:eastAsia="Calibri"/>
                <w:lang w:eastAsia="en-US"/>
              </w:rPr>
              <w:t>oteikumu izpildes nodrošināšanai nav paredzēts veidot jaunas pašvaldības institūcijas, darba vietas vai paplašināt esošo institūciju kompetenci.</w:t>
            </w:r>
          </w:p>
        </w:tc>
      </w:tr>
      <w:tr w:rsidR="002E3B81" w:rsidRPr="002E3B81" w14:paraId="0474FAF5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78D" w14:textId="46B43B7C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6. Informācija par izpildes nodrošināšanu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26E" w14:textId="38D08610" w:rsidR="000D7400" w:rsidRPr="002E3B81" w:rsidRDefault="000D7400" w:rsidP="002E3B81">
            <w:r w:rsidRPr="002E3B81">
              <w:t>Saistošo noteikumu izpildē jaun</w:t>
            </w:r>
            <w:r w:rsidR="00C31C20">
              <w:t>u</w:t>
            </w:r>
            <w:r w:rsidRPr="002E3B81">
              <w:t xml:space="preserve"> institūciju izveidi neparedz.</w:t>
            </w:r>
          </w:p>
          <w:p w14:paraId="1C83B9A0" w14:textId="77777777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3B81" w:rsidRPr="002E3B81" w14:paraId="7F97668F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C71" w14:textId="3F42653B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675" w14:textId="3BC40CFD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Ar </w:t>
            </w:r>
            <w:r w:rsidR="005D4E1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aistošajiem noteikumiem noteiktās prasības ir samērīgas attiecībā pret ieguvumiem, ko sniedz saistošo noteikumu mērķa sasniegšana.</w:t>
            </w:r>
          </w:p>
        </w:tc>
      </w:tr>
      <w:tr w:rsidR="002E3B81" w:rsidRPr="002E3B81" w14:paraId="481CC223" w14:textId="77777777" w:rsidTr="002E3B81">
        <w:trPr>
          <w:tblCellSpacing w:w="15" w:type="dxa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76C" w14:textId="0382220D" w:rsidR="000D7400" w:rsidRPr="002E3B81" w:rsidRDefault="000D7400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</w:rPr>
              <w:t>8.  Izstrādes gaitā veiktās konsultācijas ar privātpersonām un institūcijām </w:t>
            </w:r>
          </w:p>
        </w:tc>
        <w:tc>
          <w:tcPr>
            <w:tcW w:w="3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272" w14:textId="77777777" w:rsidR="000D7400" w:rsidRPr="002E3B81" w:rsidRDefault="002E3B81" w:rsidP="002E3B8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2E3B8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Noteikumu izstrādes procesā notikušas konsultācijas ar to izpildes nodrošināšanā iesaistītajām institūcijām.</w:t>
            </w:r>
          </w:p>
          <w:p w14:paraId="5CD08F77" w14:textId="55ADD89C" w:rsidR="002E3B81" w:rsidRPr="002E3B81" w:rsidRDefault="005D4E14" w:rsidP="003E69A4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3E69A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Atbilstoši Pašvaldību likuma 46. panta trešajai daļai,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Saistošo noteikumu </w:t>
            </w:r>
            <w:r w:rsidRPr="003E69A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projekts tika publicēts Jelgavas novada pašvaldības tīmekļvietnē www.jelgavasnovads.lv. Viedokļa izteikšanas termiņš noteikts divas nedēļas no publicēšanas dienas. Laiks viedokļa izteikšanai bija noteikts no 2024. gada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……</w:t>
            </w:r>
            <w:r w:rsidRPr="003E69A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līdz 2024. gada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…..</w:t>
            </w:r>
            <w:r w:rsidRPr="003E69A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.  Publicēšanas laikā par saistošo noteikumu projektu </w:t>
            </w:r>
            <w:r w:rsidRPr="00542DD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netika</w:t>
            </w:r>
            <w:r w:rsidRPr="00BD4AB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3E69A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saņemti sabiedrības viedokļi.</w:t>
            </w:r>
          </w:p>
        </w:tc>
      </w:tr>
      <w:bookmarkEnd w:id="1"/>
    </w:tbl>
    <w:p w14:paraId="2DEDAFEE" w14:textId="77777777" w:rsidR="00BE1FF9" w:rsidRPr="00A72A1B" w:rsidRDefault="00BE1FF9" w:rsidP="00BE1FF9">
      <w:pPr>
        <w:jc w:val="right"/>
      </w:pPr>
    </w:p>
    <w:p w14:paraId="476F3E21" w14:textId="02DA7B56" w:rsidR="001E2610" w:rsidRDefault="00BE1FF9" w:rsidP="005D48A2">
      <w:pPr>
        <w:jc w:val="both"/>
      </w:pPr>
      <w:r w:rsidRPr="00A72A1B">
        <w:t>D</w:t>
      </w:r>
      <w:r>
        <w:t>o</w:t>
      </w:r>
      <w:r w:rsidRPr="00A72A1B">
        <w:t>mes priekšsēdētāj</w:t>
      </w:r>
      <w:r w:rsidR="00EA4667">
        <w:t>s</w:t>
      </w:r>
      <w:r w:rsidRPr="00A72A1B">
        <w:tab/>
        <w:t xml:space="preserve">                                                              </w:t>
      </w:r>
      <w:r w:rsidR="00EA4667">
        <w:t>U.Ainārs</w:t>
      </w:r>
    </w:p>
    <w:sectPr w:rsidR="001E2610" w:rsidSect="000C4A3C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41510"/>
    <w:multiLevelType w:val="hybridMultilevel"/>
    <w:tmpl w:val="02781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0970"/>
    <w:multiLevelType w:val="multilevel"/>
    <w:tmpl w:val="805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FF62B8"/>
    <w:multiLevelType w:val="multilevel"/>
    <w:tmpl w:val="A5B24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870E1D"/>
    <w:multiLevelType w:val="multilevel"/>
    <w:tmpl w:val="22E641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4C228B"/>
    <w:multiLevelType w:val="hybridMultilevel"/>
    <w:tmpl w:val="AC9429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F52C8"/>
    <w:multiLevelType w:val="hybridMultilevel"/>
    <w:tmpl w:val="2A18226A"/>
    <w:lvl w:ilvl="0" w:tplc="722434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7E042A86"/>
    <w:multiLevelType w:val="multilevel"/>
    <w:tmpl w:val="4BE043C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363833">
    <w:abstractNumId w:val="0"/>
  </w:num>
  <w:num w:numId="2" w16cid:durableId="224265535">
    <w:abstractNumId w:val="2"/>
  </w:num>
  <w:num w:numId="3" w16cid:durableId="347828443">
    <w:abstractNumId w:val="4"/>
  </w:num>
  <w:num w:numId="4" w16cid:durableId="1592663430">
    <w:abstractNumId w:val="3"/>
  </w:num>
  <w:num w:numId="5" w16cid:durableId="1011370799">
    <w:abstractNumId w:val="6"/>
  </w:num>
  <w:num w:numId="6" w16cid:durableId="1563104013">
    <w:abstractNumId w:val="5"/>
  </w:num>
  <w:num w:numId="7" w16cid:durableId="205287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C6"/>
    <w:rsid w:val="00026405"/>
    <w:rsid w:val="0003212B"/>
    <w:rsid w:val="000505A0"/>
    <w:rsid w:val="00056773"/>
    <w:rsid w:val="000627DF"/>
    <w:rsid w:val="00070D0E"/>
    <w:rsid w:val="00080636"/>
    <w:rsid w:val="00085664"/>
    <w:rsid w:val="00093383"/>
    <w:rsid w:val="00095E7D"/>
    <w:rsid w:val="000B3768"/>
    <w:rsid w:val="000C4A3C"/>
    <w:rsid w:val="000D7400"/>
    <w:rsid w:val="000E6502"/>
    <w:rsid w:val="001012BD"/>
    <w:rsid w:val="00105717"/>
    <w:rsid w:val="00152F0B"/>
    <w:rsid w:val="001621E3"/>
    <w:rsid w:val="00191510"/>
    <w:rsid w:val="00193AD1"/>
    <w:rsid w:val="001A7014"/>
    <w:rsid w:val="001C1F71"/>
    <w:rsid w:val="001C3142"/>
    <w:rsid w:val="001C541B"/>
    <w:rsid w:val="001E0BE6"/>
    <w:rsid w:val="001E2610"/>
    <w:rsid w:val="001E5D0A"/>
    <w:rsid w:val="001F322D"/>
    <w:rsid w:val="00200300"/>
    <w:rsid w:val="00236E2A"/>
    <w:rsid w:val="00280569"/>
    <w:rsid w:val="00296C05"/>
    <w:rsid w:val="002B7A39"/>
    <w:rsid w:val="002C29B3"/>
    <w:rsid w:val="002E3B81"/>
    <w:rsid w:val="003065FF"/>
    <w:rsid w:val="0031671E"/>
    <w:rsid w:val="00354CC7"/>
    <w:rsid w:val="00371FDC"/>
    <w:rsid w:val="003E69A4"/>
    <w:rsid w:val="003F594A"/>
    <w:rsid w:val="004130A3"/>
    <w:rsid w:val="00427FE8"/>
    <w:rsid w:val="0043062C"/>
    <w:rsid w:val="0045478F"/>
    <w:rsid w:val="004741F2"/>
    <w:rsid w:val="004823F7"/>
    <w:rsid w:val="004904AE"/>
    <w:rsid w:val="004B5223"/>
    <w:rsid w:val="004D19D8"/>
    <w:rsid w:val="004E39F4"/>
    <w:rsid w:val="004F2B07"/>
    <w:rsid w:val="00510445"/>
    <w:rsid w:val="00542DD2"/>
    <w:rsid w:val="0054686D"/>
    <w:rsid w:val="005613F0"/>
    <w:rsid w:val="005874A1"/>
    <w:rsid w:val="00593BBE"/>
    <w:rsid w:val="005D09B6"/>
    <w:rsid w:val="005D48A2"/>
    <w:rsid w:val="005D4E14"/>
    <w:rsid w:val="005D6DFA"/>
    <w:rsid w:val="00731FF9"/>
    <w:rsid w:val="007464A8"/>
    <w:rsid w:val="0075132D"/>
    <w:rsid w:val="007623C9"/>
    <w:rsid w:val="007857C8"/>
    <w:rsid w:val="007968BD"/>
    <w:rsid w:val="007D00B0"/>
    <w:rsid w:val="007E5BFF"/>
    <w:rsid w:val="007F29ED"/>
    <w:rsid w:val="00827916"/>
    <w:rsid w:val="00885A83"/>
    <w:rsid w:val="00886112"/>
    <w:rsid w:val="008A289F"/>
    <w:rsid w:val="008C1CC5"/>
    <w:rsid w:val="008E7892"/>
    <w:rsid w:val="00917EDE"/>
    <w:rsid w:val="0098048D"/>
    <w:rsid w:val="009A4F8E"/>
    <w:rsid w:val="009C3180"/>
    <w:rsid w:val="009D6814"/>
    <w:rsid w:val="009F7193"/>
    <w:rsid w:val="00A23849"/>
    <w:rsid w:val="00A26799"/>
    <w:rsid w:val="00AD7411"/>
    <w:rsid w:val="00B1590A"/>
    <w:rsid w:val="00B25659"/>
    <w:rsid w:val="00B25B14"/>
    <w:rsid w:val="00B424C0"/>
    <w:rsid w:val="00B572C2"/>
    <w:rsid w:val="00BA3F26"/>
    <w:rsid w:val="00BD4ABF"/>
    <w:rsid w:val="00BD709C"/>
    <w:rsid w:val="00BE1FF9"/>
    <w:rsid w:val="00C22F91"/>
    <w:rsid w:val="00C31C20"/>
    <w:rsid w:val="00C75101"/>
    <w:rsid w:val="00D542ED"/>
    <w:rsid w:val="00D74FE7"/>
    <w:rsid w:val="00D7644D"/>
    <w:rsid w:val="00D80AC6"/>
    <w:rsid w:val="00DA668F"/>
    <w:rsid w:val="00DD4C52"/>
    <w:rsid w:val="00E01774"/>
    <w:rsid w:val="00E242E5"/>
    <w:rsid w:val="00E709DF"/>
    <w:rsid w:val="00E77AB9"/>
    <w:rsid w:val="00EA11B8"/>
    <w:rsid w:val="00EA4667"/>
    <w:rsid w:val="00EE55E1"/>
    <w:rsid w:val="00F1685C"/>
    <w:rsid w:val="00F2066F"/>
    <w:rsid w:val="00F27E05"/>
    <w:rsid w:val="00F55FA5"/>
    <w:rsid w:val="00F62BA3"/>
    <w:rsid w:val="00F90CCB"/>
    <w:rsid w:val="00FA4E11"/>
    <w:rsid w:val="00FC37D3"/>
    <w:rsid w:val="00FD1C80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90A0"/>
  <w15:docId w15:val="{290B4CB7-2E16-4F2D-9CE5-1BB12A3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F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4F2B07"/>
    <w:pPr>
      <w:keepNext/>
      <w:jc w:val="center"/>
      <w:outlineLvl w:val="1"/>
    </w:pPr>
    <w:rPr>
      <w:b/>
      <w:bCs/>
      <w:noProof/>
      <w:sz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E1F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F9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customStyle="1" w:styleId="Default">
    <w:name w:val="Default"/>
    <w:rsid w:val="00BE1FF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zh-CN" w:bidi="lo-LA"/>
    </w:rPr>
  </w:style>
  <w:style w:type="paragraph" w:customStyle="1" w:styleId="NoSpacing1">
    <w:name w:val="No Spacing1"/>
    <w:uiPriority w:val="1"/>
    <w:qFormat/>
    <w:rsid w:val="00193AD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qFormat/>
    <w:rsid w:val="00EE55E1"/>
    <w:rPr>
      <w:b/>
      <w:bCs/>
    </w:rPr>
  </w:style>
  <w:style w:type="paragraph" w:styleId="ListParagraph">
    <w:name w:val="List Paragraph"/>
    <w:aliases w:val="Strip,H&amp;P List Paragraph"/>
    <w:basedOn w:val="Normal"/>
    <w:link w:val="ListParagraphChar"/>
    <w:uiPriority w:val="34"/>
    <w:qFormat/>
    <w:rsid w:val="003F5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B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B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trip Char,H&amp;P List Paragraph Char"/>
    <w:link w:val="ListParagraph"/>
    <w:uiPriority w:val="34"/>
    <w:locked/>
    <w:rsid w:val="00885A83"/>
    <w:rPr>
      <w:rFonts w:eastAsia="Times New Roman" w:cs="Times New Roman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4F2B07"/>
    <w:rPr>
      <w:rFonts w:eastAsia="Times New Roman" w:cs="Times New Roman"/>
      <w:b/>
      <w:bCs/>
      <w:noProof/>
      <w:sz w:val="32"/>
      <w:szCs w:val="24"/>
      <w:lang w:val="en-GB"/>
    </w:rPr>
  </w:style>
  <w:style w:type="paragraph" w:customStyle="1" w:styleId="tv213">
    <w:name w:val="tv213"/>
    <w:basedOn w:val="Normal"/>
    <w:rsid w:val="00A2384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54CC7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9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E7D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E7D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35C8-5D65-4A8D-80E3-E78AF8E2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Zeivots</dc:creator>
  <cp:keywords/>
  <dc:description/>
  <cp:lastModifiedBy>Margarita Stesanova</cp:lastModifiedBy>
  <cp:revision>7</cp:revision>
  <dcterms:created xsi:type="dcterms:W3CDTF">2024-09-12T13:16:00Z</dcterms:created>
  <dcterms:modified xsi:type="dcterms:W3CDTF">2024-10-16T09:03:00Z</dcterms:modified>
</cp:coreProperties>
</file>