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2F6EE20D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reģ. Nr. 90009118031, ar juridisko adresi Pasta iela 37, Jelgava, LV-3001, (turpmāk-Pārdevējs), Jelgavas novada domes priekšsēdētāja </w:t>
      </w:r>
      <w:r w:rsidR="002E3646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6CBC7980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D07ACC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>.</w:t>
      </w:r>
      <w:r w:rsidR="0003481D">
        <w:rPr>
          <w:rFonts w:ascii="Times New Roman" w:hAnsi="Times New Roman" w:cs="Times New Roman"/>
          <w:sz w:val="24"/>
          <w:szCs w:val="24"/>
        </w:rPr>
        <w:t> 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gada </w:t>
      </w:r>
      <w:r w:rsidR="00545C50">
        <w:rPr>
          <w:rFonts w:ascii="Times New Roman" w:hAnsi="Times New Roman" w:cs="Times New Roman"/>
          <w:sz w:val="24"/>
          <w:szCs w:val="24"/>
        </w:rPr>
        <w:t>18.</w:t>
      </w:r>
      <w:r w:rsidR="001A23E5">
        <w:rPr>
          <w:rFonts w:ascii="Times New Roman" w:hAnsi="Times New Roman" w:cs="Times New Roman"/>
          <w:sz w:val="24"/>
          <w:szCs w:val="24"/>
        </w:rPr>
        <w:t> </w:t>
      </w:r>
      <w:r w:rsidR="00545C50">
        <w:rPr>
          <w:rFonts w:ascii="Times New Roman" w:hAnsi="Times New Roman" w:cs="Times New Roman"/>
          <w:sz w:val="24"/>
          <w:szCs w:val="24"/>
        </w:rPr>
        <w:t>jūnija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>lēmumu Nr.</w:t>
      </w:r>
      <w:r w:rsidR="0003481D">
        <w:rPr>
          <w:rFonts w:ascii="Times New Roman" w:hAnsi="Times New Roman" w:cs="Times New Roman"/>
          <w:sz w:val="24"/>
          <w:szCs w:val="24"/>
        </w:rPr>
        <w:t> </w:t>
      </w:r>
      <w:r w:rsidR="00545C50">
        <w:rPr>
          <w:rFonts w:ascii="Times New Roman" w:hAnsi="Times New Roman" w:cs="Times New Roman"/>
          <w:sz w:val="24"/>
          <w:szCs w:val="24"/>
        </w:rPr>
        <w:t>14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03481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r w:rsidR="00545C50">
        <w:rPr>
          <w:rFonts w:ascii="Times New Roman" w:hAnsi="Times New Roman" w:cs="Times New Roman"/>
          <w:bCs/>
          <w:sz w:val="24"/>
          <w:szCs w:val="24"/>
        </w:rPr>
        <w:t>Kligulīši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45C50">
        <w:rPr>
          <w:rFonts w:ascii="Times New Roman" w:hAnsi="Times New Roman" w:cs="Times New Roman"/>
          <w:bCs/>
          <w:sz w:val="24"/>
          <w:szCs w:val="24"/>
        </w:rPr>
        <w:t>Līvbērzes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 pag</w:t>
      </w:r>
      <w:r w:rsidR="00545C50">
        <w:rPr>
          <w:rFonts w:ascii="Times New Roman" w:hAnsi="Times New Roman" w:cs="Times New Roman"/>
          <w:bCs/>
          <w:sz w:val="24"/>
          <w:szCs w:val="24"/>
        </w:rPr>
        <w:t>.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545C50">
        <w:rPr>
          <w:rFonts w:ascii="Times New Roman" w:hAnsi="Times New Roman" w:cs="Times New Roman"/>
          <w:sz w:val="24"/>
          <w:szCs w:val="24"/>
        </w:rPr>
        <w:t>1</w:t>
      </w:r>
      <w:r w:rsidR="00AB624A">
        <w:rPr>
          <w:rFonts w:ascii="Times New Roman" w:hAnsi="Times New Roman" w:cs="Times New Roman"/>
          <w:sz w:val="24"/>
          <w:szCs w:val="24"/>
        </w:rPr>
        <w:t>7</w:t>
      </w:r>
      <w:r w:rsidR="00545C50">
        <w:rPr>
          <w:rFonts w:ascii="Times New Roman" w:hAnsi="Times New Roman" w:cs="Times New Roman"/>
          <w:sz w:val="24"/>
          <w:szCs w:val="24"/>
        </w:rPr>
        <w:t>/2025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06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6BFC7A2A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“</w:t>
      </w:r>
      <w:r w:rsidR="00545C50">
        <w:rPr>
          <w:rFonts w:ascii="Times New Roman" w:hAnsi="Times New Roman" w:cs="Times New Roman"/>
          <w:b/>
          <w:sz w:val="24"/>
          <w:szCs w:val="24"/>
        </w:rPr>
        <w:t>Kligulīši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545C50">
        <w:rPr>
          <w:rFonts w:ascii="Times New Roman" w:hAnsi="Times New Roman" w:cs="Times New Roman"/>
          <w:b/>
          <w:sz w:val="24"/>
          <w:szCs w:val="24"/>
        </w:rPr>
        <w:t>Līvbērzes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DB1F81">
        <w:rPr>
          <w:rFonts w:ascii="Times New Roman" w:hAnsi="Times New Roman" w:cs="Times New Roman"/>
          <w:b/>
          <w:sz w:val="24"/>
          <w:szCs w:val="24"/>
        </w:rPr>
        <w:t>546200100</w:t>
      </w:r>
      <w:r w:rsidR="00E5298A">
        <w:rPr>
          <w:rFonts w:ascii="Times New Roman" w:hAnsi="Times New Roman" w:cs="Times New Roman"/>
          <w:b/>
          <w:sz w:val="24"/>
          <w:szCs w:val="24"/>
        </w:rPr>
        <w:t>85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</w:t>
      </w:r>
      <w:r w:rsidR="00C15B8A">
        <w:rPr>
          <w:rFonts w:ascii="Times New Roman" w:hAnsi="Times New Roman" w:cs="Times New Roman"/>
          <w:sz w:val="24"/>
          <w:szCs w:val="24"/>
        </w:rPr>
        <w:t xml:space="preserve">lauksaimniecībā izmantojamas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DB1F81">
        <w:rPr>
          <w:rFonts w:ascii="Times New Roman" w:hAnsi="Times New Roman" w:cs="Times New Roman"/>
          <w:sz w:val="24"/>
          <w:szCs w:val="24"/>
        </w:rPr>
        <w:t>0,4138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 ha platībā ar kadastra apzīmējumu </w:t>
      </w:r>
      <w:r w:rsidR="00DB1F81">
        <w:rPr>
          <w:rFonts w:ascii="Times New Roman" w:hAnsi="Times New Roman" w:cs="Times New Roman"/>
          <w:sz w:val="24"/>
          <w:szCs w:val="24"/>
        </w:rPr>
        <w:t>54620010042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067BA6EE" w14:textId="77777777" w:rsidR="00EA7D7D" w:rsidRPr="006F3DEB" w:rsidRDefault="00EA7D7D" w:rsidP="00EA7D7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50BFB9B9" w14:textId="608FA3C6" w:rsidR="00EA7D7D" w:rsidRPr="0090743F" w:rsidRDefault="00EA7D7D" w:rsidP="00EA7D7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DB1F81">
        <w:rPr>
          <w:rFonts w:ascii="Times New Roman" w:eastAsia="Times New Roman" w:hAnsi="Times New Roman" w:cs="Times New Roman"/>
          <w:sz w:val="24"/>
          <w:szCs w:val="24"/>
        </w:rPr>
        <w:t>Līvbērzes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 Nr.</w:t>
      </w:r>
      <w:r>
        <w:rPr>
          <w:rFonts w:ascii="Times New Roman" w:hAnsi="Times New Roman" w:cs="Times New Roman"/>
          <w:sz w:val="24"/>
          <w:szCs w:val="24"/>
        </w:rPr>
        <w:t>100000</w:t>
      </w:r>
      <w:r w:rsidR="00DB1F81">
        <w:rPr>
          <w:rFonts w:ascii="Times New Roman" w:hAnsi="Times New Roman" w:cs="Times New Roman"/>
          <w:sz w:val="24"/>
          <w:szCs w:val="24"/>
        </w:rPr>
        <w:t>912776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EA7D7D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799F0" w14:textId="77777777" w:rsidR="00EA7D7D" w:rsidRPr="006F3DEB" w:rsidRDefault="00EA7D7D" w:rsidP="00EA7D7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7A8949ED" w14:textId="77777777" w:rsidR="00EA7D7D" w:rsidRPr="006F3DE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7FE5FCB5" w14:textId="77777777" w:rsidR="00EA7D7D" w:rsidRPr="00837ED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351CB672" w14:textId="77777777" w:rsidR="00EA7D7D" w:rsidRPr="00837ED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ir informēts, ka saskaņā ar likuma “Par zemes privatizāciju lauku apvidos” 30.² panta pirmo daļu pirmpirkuma tiesības uz Pirkuma priekšmetu ir Latvijas zemes fonda pārvaldītājam.</w:t>
      </w:r>
    </w:p>
    <w:p w14:paraId="299015A6" w14:textId="77777777" w:rsidR="00EA7D7D" w:rsidRPr="00837ED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apliecina, ka viņam ir zināms, ka saskaņā ar Latvijas Republikas likuma "Par zemes privatizāciju lauku apvidos" 30.</w:t>
      </w:r>
      <w:r w:rsidRPr="00837E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37EDB">
        <w:rPr>
          <w:rFonts w:ascii="Times New Roman" w:eastAsia="Times New Roman" w:hAnsi="Times New Roman" w:cs="Times New Roman"/>
          <w:sz w:val="24"/>
          <w:szCs w:val="24"/>
        </w:rPr>
        <w:t xml:space="preserve"> pantu ir jāsaņem pašvaldības lēmums par piekrišanu lauksaimniecības zemes iegūšanai īpašumā un Latvijas zemes fonda pārvaldītāja lēmums par pirmpirkuma tiesību neizmantošanu, ja pirmpirkuma tiesības neizmanto īpašuma kopīpašnieks/nomnieks. 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text" w:val="paziņojumi"/>
          <w:attr w:name="id" w:val="-1"/>
          <w:attr w:name="baseform" w:val="paziņoj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2E410E46" w:rsidR="00323237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 w:rsidR="007C7331">
        <w:rPr>
          <w:rFonts w:ascii="Times New Roman" w:eastAsia="Times New Roman" w:hAnsi="Times New Roman" w:cs="Times New Roman"/>
          <w:sz w:val="24"/>
          <w:szCs w:val="24"/>
        </w:rPr>
        <w:t>pusēm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17080CE" w14:textId="77777777" w:rsidR="00D112CF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uridiskā adrese Pasta iela 37, </w:t>
            </w:r>
          </w:p>
          <w:p w14:paraId="58B10582" w14:textId="450FA5A7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Jelgava,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5FC787E" w14:textId="431C15E2" w:rsidR="00EA3728" w:rsidRPr="00EA3728" w:rsidRDefault="00EA3728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4A8B67C7" w:rsidR="0003339C" w:rsidRPr="00EA3728" w:rsidRDefault="00581EE7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Ingus Zālītis</w:t>
            </w:r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EA7D7D">
      <w:headerReference w:type="default" r:id="rId7"/>
      <w:footerReference w:type="even" r:id="rId8"/>
      <w:footerReference w:type="default" r:id="rId9"/>
      <w:pgSz w:w="11906" w:h="16838"/>
      <w:pgMar w:top="1134" w:right="1361" w:bottom="85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974B3" w14:textId="77777777" w:rsidR="00C51060" w:rsidRDefault="00C51060">
      <w:pPr>
        <w:spacing w:after="0" w:line="240" w:lineRule="auto"/>
      </w:pPr>
      <w:r>
        <w:separator/>
      </w:r>
    </w:p>
  </w:endnote>
  <w:endnote w:type="continuationSeparator" w:id="0">
    <w:p w14:paraId="50E5A220" w14:textId="77777777" w:rsidR="00C51060" w:rsidRDefault="00C5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325F" w14:textId="77777777" w:rsidR="00C51060" w:rsidRDefault="00C51060">
      <w:pPr>
        <w:spacing w:after="0" w:line="240" w:lineRule="auto"/>
      </w:pPr>
      <w:r>
        <w:separator/>
      </w:r>
    </w:p>
  </w:footnote>
  <w:footnote w:type="continuationSeparator" w:id="0">
    <w:p w14:paraId="50F0EF04" w14:textId="77777777" w:rsidR="00C51060" w:rsidRDefault="00C5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3481D"/>
    <w:rsid w:val="000404B1"/>
    <w:rsid w:val="0004667D"/>
    <w:rsid w:val="00062115"/>
    <w:rsid w:val="00062709"/>
    <w:rsid w:val="000C0325"/>
    <w:rsid w:val="000C6132"/>
    <w:rsid w:val="000D48A5"/>
    <w:rsid w:val="00101271"/>
    <w:rsid w:val="0010516B"/>
    <w:rsid w:val="0012716D"/>
    <w:rsid w:val="00151FD7"/>
    <w:rsid w:val="0019229C"/>
    <w:rsid w:val="001A23E5"/>
    <w:rsid w:val="001C65BF"/>
    <w:rsid w:val="001E692D"/>
    <w:rsid w:val="001E784B"/>
    <w:rsid w:val="0020440D"/>
    <w:rsid w:val="00204612"/>
    <w:rsid w:val="00205FDF"/>
    <w:rsid w:val="002179DA"/>
    <w:rsid w:val="00230A15"/>
    <w:rsid w:val="002329B7"/>
    <w:rsid w:val="002461E2"/>
    <w:rsid w:val="002607F7"/>
    <w:rsid w:val="00281D57"/>
    <w:rsid w:val="0028442E"/>
    <w:rsid w:val="002A349B"/>
    <w:rsid w:val="002A7B28"/>
    <w:rsid w:val="002A7B41"/>
    <w:rsid w:val="002E3646"/>
    <w:rsid w:val="0031478C"/>
    <w:rsid w:val="00323237"/>
    <w:rsid w:val="00380544"/>
    <w:rsid w:val="0038766F"/>
    <w:rsid w:val="003A104B"/>
    <w:rsid w:val="003B77B6"/>
    <w:rsid w:val="003B7A74"/>
    <w:rsid w:val="003C0B83"/>
    <w:rsid w:val="003D0480"/>
    <w:rsid w:val="003E6D83"/>
    <w:rsid w:val="004048FA"/>
    <w:rsid w:val="00415DC6"/>
    <w:rsid w:val="004163CB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5206E6"/>
    <w:rsid w:val="005275D1"/>
    <w:rsid w:val="00545C50"/>
    <w:rsid w:val="00547387"/>
    <w:rsid w:val="005712DB"/>
    <w:rsid w:val="00577C15"/>
    <w:rsid w:val="00581EE7"/>
    <w:rsid w:val="0058270A"/>
    <w:rsid w:val="00584CE4"/>
    <w:rsid w:val="005D42F9"/>
    <w:rsid w:val="0061366C"/>
    <w:rsid w:val="00637BE1"/>
    <w:rsid w:val="006426E2"/>
    <w:rsid w:val="00685EC3"/>
    <w:rsid w:val="006964CA"/>
    <w:rsid w:val="006A59EB"/>
    <w:rsid w:val="006C007A"/>
    <w:rsid w:val="006E2550"/>
    <w:rsid w:val="006F3DEB"/>
    <w:rsid w:val="006F7E62"/>
    <w:rsid w:val="00703771"/>
    <w:rsid w:val="00720C36"/>
    <w:rsid w:val="00721EBA"/>
    <w:rsid w:val="00722F86"/>
    <w:rsid w:val="00740D2F"/>
    <w:rsid w:val="00753678"/>
    <w:rsid w:val="007549BC"/>
    <w:rsid w:val="00793CAD"/>
    <w:rsid w:val="007A3ABD"/>
    <w:rsid w:val="007C7331"/>
    <w:rsid w:val="007E0453"/>
    <w:rsid w:val="007E2457"/>
    <w:rsid w:val="007E360A"/>
    <w:rsid w:val="007F45AE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227BE"/>
    <w:rsid w:val="00926F96"/>
    <w:rsid w:val="00927435"/>
    <w:rsid w:val="00992EB8"/>
    <w:rsid w:val="0099636C"/>
    <w:rsid w:val="00A07A2D"/>
    <w:rsid w:val="00A22F40"/>
    <w:rsid w:val="00A2763D"/>
    <w:rsid w:val="00A324C4"/>
    <w:rsid w:val="00A74480"/>
    <w:rsid w:val="00A97CA3"/>
    <w:rsid w:val="00AB624A"/>
    <w:rsid w:val="00AF5953"/>
    <w:rsid w:val="00B120E6"/>
    <w:rsid w:val="00B22E20"/>
    <w:rsid w:val="00B24258"/>
    <w:rsid w:val="00B324BF"/>
    <w:rsid w:val="00B432E8"/>
    <w:rsid w:val="00B43A95"/>
    <w:rsid w:val="00B607B9"/>
    <w:rsid w:val="00B76E97"/>
    <w:rsid w:val="00BB40B3"/>
    <w:rsid w:val="00BC0B96"/>
    <w:rsid w:val="00BC0FED"/>
    <w:rsid w:val="00BD2A2B"/>
    <w:rsid w:val="00BF3F1E"/>
    <w:rsid w:val="00C05518"/>
    <w:rsid w:val="00C10618"/>
    <w:rsid w:val="00C14563"/>
    <w:rsid w:val="00C15B8A"/>
    <w:rsid w:val="00C225D4"/>
    <w:rsid w:val="00C51060"/>
    <w:rsid w:val="00C52C2B"/>
    <w:rsid w:val="00C92CBE"/>
    <w:rsid w:val="00CA2B81"/>
    <w:rsid w:val="00CE26D7"/>
    <w:rsid w:val="00CE6783"/>
    <w:rsid w:val="00CF1C0F"/>
    <w:rsid w:val="00D05520"/>
    <w:rsid w:val="00D056C7"/>
    <w:rsid w:val="00D07ACC"/>
    <w:rsid w:val="00D112CF"/>
    <w:rsid w:val="00D63F60"/>
    <w:rsid w:val="00D702C0"/>
    <w:rsid w:val="00D9124A"/>
    <w:rsid w:val="00DA1E53"/>
    <w:rsid w:val="00DA681E"/>
    <w:rsid w:val="00DB1F81"/>
    <w:rsid w:val="00DC0143"/>
    <w:rsid w:val="00DD4A1B"/>
    <w:rsid w:val="00DF2E27"/>
    <w:rsid w:val="00DF6B92"/>
    <w:rsid w:val="00E4135F"/>
    <w:rsid w:val="00E5298A"/>
    <w:rsid w:val="00E6266E"/>
    <w:rsid w:val="00E754A1"/>
    <w:rsid w:val="00EA3728"/>
    <w:rsid w:val="00EA41EF"/>
    <w:rsid w:val="00EA7D7D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222A"/>
    <w:rsid w:val="00F777B4"/>
    <w:rsid w:val="00F829F4"/>
    <w:rsid w:val="00FA29DA"/>
    <w:rsid w:val="00FA3559"/>
    <w:rsid w:val="00FA6536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3863</Words>
  <Characters>2203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Liga Lauga</cp:lastModifiedBy>
  <cp:revision>16</cp:revision>
  <dcterms:created xsi:type="dcterms:W3CDTF">2025-07-02T08:07:00Z</dcterms:created>
  <dcterms:modified xsi:type="dcterms:W3CDTF">2025-07-03T09:08:00Z</dcterms:modified>
</cp:coreProperties>
</file>