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0021200D"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273635">
        <w:rPr>
          <w:rFonts w:ascii="Times New Roman" w:eastAsia="Times New Roman" w:hAnsi="Times New Roman" w:cs="Times New Roman"/>
          <w:i/>
        </w:rPr>
        <w:t>17.septembra</w:t>
      </w:r>
      <w:r w:rsidR="000F35AE">
        <w:rPr>
          <w:rFonts w:ascii="Times New Roman" w:eastAsia="Times New Roman" w:hAnsi="Times New Roman" w:cs="Times New Roman"/>
          <w:i/>
        </w:rPr>
        <w:t xml:space="preserve"> </w:t>
      </w:r>
      <w:r>
        <w:rPr>
          <w:rFonts w:ascii="Times New Roman" w:eastAsia="Times New Roman" w:hAnsi="Times New Roman" w:cs="Times New Roman"/>
          <w:i/>
        </w:rPr>
        <w:t>Jelgavas novada pašvaldības izsoļu komisijas lēmumu</w:t>
      </w:r>
    </w:p>
    <w:p w14:paraId="1C065D1E" w14:textId="0615FC32"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273635">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7801A325"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07238F">
        <w:rPr>
          <w:rFonts w:ascii="Times New Roman" w:hAnsi="Times New Roman" w:cs="Times New Roman"/>
          <w:b/>
        </w:rPr>
        <w:t>MAZVIRŠI</w:t>
      </w:r>
      <w:r w:rsidR="00B6644D">
        <w:rPr>
          <w:rFonts w:ascii="Times New Roman" w:hAnsi="Times New Roman" w:cs="Times New Roman"/>
          <w:b/>
        </w:rPr>
        <w:t>”</w:t>
      </w:r>
      <w:r w:rsidR="00871ABA">
        <w:rPr>
          <w:rFonts w:ascii="Times New Roman" w:hAnsi="Times New Roman" w:cs="Times New Roman"/>
          <w:b/>
        </w:rPr>
        <w:t xml:space="preserve">, </w:t>
      </w:r>
      <w:r w:rsidR="0007238F">
        <w:rPr>
          <w:rFonts w:ascii="Times New Roman" w:hAnsi="Times New Roman" w:cs="Times New Roman"/>
          <w:b/>
        </w:rPr>
        <w:t>LIELPLATONES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44DE196D"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70DC671B"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07238F">
        <w:rPr>
          <w:rFonts w:ascii="Times New Roman" w:hAnsi="Times New Roman" w:cs="Times New Roman"/>
          <w:b/>
          <w:sz w:val="24"/>
          <w:szCs w:val="24"/>
        </w:rPr>
        <w:t>Mazvirši</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07238F">
        <w:rPr>
          <w:rFonts w:ascii="Times New Roman" w:hAnsi="Times New Roman" w:cs="Times New Roman"/>
          <w:b/>
          <w:sz w:val="24"/>
          <w:szCs w:val="24"/>
        </w:rPr>
        <w:t>Lielplatones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07238F">
        <w:rPr>
          <w:rFonts w:ascii="Times New Roman" w:hAnsi="Times New Roman" w:cs="Times New Roman"/>
          <w:b/>
          <w:bCs/>
          <w:color w:val="000000"/>
          <w:sz w:val="24"/>
          <w:szCs w:val="24"/>
        </w:rPr>
        <w:t>54600010274</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07238F">
        <w:rPr>
          <w:rFonts w:ascii="Times New Roman" w:hAnsi="Times New Roman" w:cs="Times New Roman"/>
          <w:b/>
          <w:bCs/>
          <w:color w:val="000000"/>
          <w:sz w:val="24"/>
          <w:szCs w:val="24"/>
        </w:rPr>
        <w:t>8,94</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07238F">
        <w:rPr>
          <w:rFonts w:ascii="Times New Roman" w:hAnsi="Times New Roman" w:cs="Times New Roman"/>
          <w:b/>
          <w:bCs/>
          <w:color w:val="000000"/>
          <w:sz w:val="24"/>
          <w:szCs w:val="24"/>
        </w:rPr>
        <w:t>54600010208</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58C19413"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07238F">
        <w:rPr>
          <w:rFonts w:ascii="Times New Roman" w:eastAsia="Times New Roman" w:hAnsi="Times New Roman" w:cs="Times New Roman"/>
          <w:sz w:val="24"/>
          <w:szCs w:val="24"/>
        </w:rPr>
        <w:t>84000</w:t>
      </w:r>
      <w:r w:rsidR="00871ABA" w:rsidRPr="00871ABA">
        <w:rPr>
          <w:rFonts w:ascii="Times New Roman" w:eastAsia="Times New Roman" w:hAnsi="Times New Roman" w:cs="Times New Roman"/>
          <w:sz w:val="24"/>
          <w:szCs w:val="24"/>
        </w:rPr>
        <w:t xml:space="preserve"> (</w:t>
      </w:r>
      <w:r w:rsidR="0007238F">
        <w:rPr>
          <w:rFonts w:ascii="Times New Roman" w:eastAsia="Times New Roman" w:hAnsi="Times New Roman" w:cs="Times New Roman"/>
          <w:sz w:val="24"/>
          <w:szCs w:val="24"/>
        </w:rPr>
        <w:t>astoņdesmit četri tūkstoši</w:t>
      </w:r>
      <w:r w:rsidR="00871ABA" w:rsidRPr="00871ABA">
        <w:rPr>
          <w:rFonts w:ascii="Times New Roman" w:eastAsia="Times New Roman" w:hAnsi="Times New Roman" w:cs="Times New Roman"/>
          <w:i/>
          <w:iCs/>
          <w:sz w:val="24"/>
          <w:szCs w:val="24"/>
        </w:rPr>
        <w:t xml:space="preserve"> 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07238F">
        <w:rPr>
          <w:rFonts w:ascii="Times New Roman" w:eastAsia="Times New Roman" w:hAnsi="Times New Roman" w:cs="Times New Roman"/>
          <w:b/>
          <w:sz w:val="24"/>
          <w:szCs w:val="24"/>
        </w:rPr>
        <w:t>8400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07238F">
        <w:rPr>
          <w:rFonts w:ascii="Times New Roman" w:eastAsia="Times New Roman" w:hAnsi="Times New Roman" w:cs="Times New Roman"/>
          <w:b/>
          <w:bCs/>
          <w:sz w:val="24"/>
          <w:szCs w:val="24"/>
        </w:rPr>
        <w:t>astoņi tūkstoši četri simti</w:t>
      </w:r>
      <w:r w:rsidR="00FD71F1" w:rsidRPr="005B7672">
        <w:rPr>
          <w:rFonts w:ascii="Times New Roman" w:eastAsia="Times New Roman" w:hAnsi="Times New Roman" w:cs="Times New Roman"/>
          <w:b/>
          <w:b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07238F">
        <w:rPr>
          <w:rFonts w:ascii="Times New Roman" w:eastAsia="Times New Roman" w:hAnsi="Times New Roman" w:cs="Times New Roman"/>
          <w:sz w:val="24"/>
          <w:szCs w:val="24"/>
        </w:rPr>
        <w:t>Mazvirši</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07238F">
        <w:rPr>
          <w:rFonts w:ascii="Times New Roman" w:eastAsia="Times New Roman" w:hAnsi="Times New Roman" w:cs="Times New Roman"/>
          <w:sz w:val="24"/>
          <w:szCs w:val="24"/>
        </w:rPr>
        <w:t>Lielplatones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010FA980"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0A7C79CB"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07238F">
        <w:rPr>
          <w:rFonts w:ascii="Times New Roman" w:eastAsia="Times New Roman" w:hAnsi="Times New Roman" w:cs="Times New Roman"/>
          <w:b/>
          <w:bCs/>
          <w:sz w:val="24"/>
          <w:szCs w:val="24"/>
        </w:rPr>
        <w:t>84000</w:t>
      </w:r>
      <w:r w:rsidR="007F5F6E" w:rsidRPr="007F5F6E">
        <w:rPr>
          <w:rFonts w:ascii="Times New Roman" w:eastAsia="Times New Roman" w:hAnsi="Times New Roman" w:cs="Times New Roman"/>
          <w:b/>
          <w:bCs/>
          <w:sz w:val="24"/>
          <w:szCs w:val="24"/>
        </w:rPr>
        <w:t xml:space="preserve"> EUR (</w:t>
      </w:r>
      <w:r w:rsidR="0007238F">
        <w:rPr>
          <w:rFonts w:ascii="Times New Roman" w:eastAsia="Times New Roman" w:hAnsi="Times New Roman" w:cs="Times New Roman"/>
          <w:b/>
          <w:bCs/>
          <w:sz w:val="24"/>
          <w:szCs w:val="24"/>
        </w:rPr>
        <w:t>astoņdesmit četri tūkstoši</w:t>
      </w:r>
      <w:r w:rsidR="005B7672" w:rsidRPr="00871ABA">
        <w:rPr>
          <w:rFonts w:ascii="Times New Roman" w:eastAsia="Times New Roman" w:hAnsi="Times New Roman" w:cs="Times New Roman"/>
          <w:i/>
          <w:iCs/>
          <w:sz w:val="24"/>
          <w:szCs w:val="24"/>
        </w:rPr>
        <w:t xml:space="preserve"> </w:t>
      </w:r>
      <w:r w:rsidR="007F5F6E" w:rsidRPr="007F5F6E">
        <w:rPr>
          <w:rFonts w:ascii="Times New Roman" w:eastAsia="Times New Roman" w:hAnsi="Times New Roman" w:cs="Times New Roman"/>
          <w:b/>
          <w:bCs/>
          <w:i/>
          <w:iCs/>
          <w:sz w:val="24"/>
          <w:szCs w:val="24"/>
        </w:rPr>
        <w:t>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51BDDB4B"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07238F">
        <w:rPr>
          <w:rFonts w:ascii="Times New Roman" w:eastAsia="Times New Roman" w:hAnsi="Times New Roman" w:cs="Times New Roman"/>
          <w:b/>
          <w:bCs/>
          <w:sz w:val="24"/>
          <w:szCs w:val="24"/>
          <w:shd w:val="clear" w:color="auto" w:fill="FFFFFF" w:themeFill="background1"/>
        </w:rPr>
        <w:t>3</w:t>
      </w:r>
      <w:r w:rsidR="002F4398">
        <w:rPr>
          <w:rFonts w:ascii="Times New Roman" w:eastAsia="Times New Roman" w:hAnsi="Times New Roman" w:cs="Times New Roman"/>
          <w:b/>
          <w:bCs/>
          <w:sz w:val="24"/>
          <w:szCs w:val="24"/>
          <w:shd w:val="clear" w:color="auto" w:fill="FFFFFF" w:themeFill="background1"/>
        </w:rPr>
        <w:t>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07238F">
        <w:rPr>
          <w:rFonts w:ascii="Times New Roman" w:eastAsia="Times New Roman" w:hAnsi="Times New Roman" w:cs="Times New Roman"/>
          <w:sz w:val="24"/>
          <w:szCs w:val="24"/>
          <w:shd w:val="clear" w:color="auto" w:fill="FFFFFF" w:themeFill="background1"/>
        </w:rPr>
        <w:t>trīs</w:t>
      </w:r>
      <w:r w:rsidR="002F4398">
        <w:rPr>
          <w:rFonts w:ascii="Times New Roman" w:eastAsia="Times New Roman" w:hAnsi="Times New Roman" w:cs="Times New Roman"/>
          <w:sz w:val="24"/>
          <w:szCs w:val="24"/>
          <w:shd w:val="clear" w:color="auto" w:fill="FFFFFF" w:themeFill="background1"/>
        </w:rPr>
        <w:t xml:space="preserve"> tūksto</w:t>
      </w:r>
      <w:r w:rsidR="0007238F">
        <w:rPr>
          <w:rFonts w:ascii="Times New Roman" w:eastAsia="Times New Roman" w:hAnsi="Times New Roman" w:cs="Times New Roman"/>
          <w:sz w:val="24"/>
          <w:szCs w:val="24"/>
          <w:shd w:val="clear" w:color="auto" w:fill="FFFFFF" w:themeFill="background1"/>
        </w:rPr>
        <w:t>ši</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50E64746"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dalībai izsolē, un kurai nav Valsts ieņēmumu dienesta administrēto nodokļu (nodevu) </w:t>
      </w:r>
      <w:r w:rsidRPr="004F55A1">
        <w:rPr>
          <w:rFonts w:ascii="Times New Roman" w:hAnsi="Times New Roman" w:cs="Times New Roman"/>
          <w:sz w:val="24"/>
          <w:szCs w:val="24"/>
        </w:rPr>
        <w:lastRenderedPageBreak/>
        <w:t xml:space="preserve">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164E4AE7"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273635">
        <w:rPr>
          <w:rFonts w:ascii="Times New Roman" w:eastAsia="Times New Roman" w:hAnsi="Times New Roman" w:cs="Times New Roman"/>
          <w:b/>
          <w:bCs/>
          <w:sz w:val="24"/>
          <w:szCs w:val="24"/>
        </w:rPr>
        <w:t>23.septembra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273635">
        <w:rPr>
          <w:rFonts w:ascii="Times New Roman" w:eastAsia="Times New Roman" w:hAnsi="Times New Roman" w:cs="Times New Roman"/>
          <w:b/>
          <w:bCs/>
          <w:sz w:val="24"/>
          <w:szCs w:val="24"/>
        </w:rPr>
        <w:t>13.oktobrim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w:t>
      </w:r>
      <w:r w:rsidRPr="004F55A1">
        <w:rPr>
          <w:rFonts w:ascii="Times New Roman" w:hAnsi="Times New Roman" w:cs="Times New Roman"/>
          <w:sz w:val="24"/>
          <w:szCs w:val="24"/>
        </w:rPr>
        <w:lastRenderedPageBreak/>
        <w:t xml:space="preserve">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5AAD61DA"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273635">
        <w:rPr>
          <w:rFonts w:ascii="Times New Roman" w:hAnsi="Times New Roman" w:cs="Times New Roman"/>
          <w:b/>
          <w:sz w:val="24"/>
          <w:szCs w:val="24"/>
        </w:rPr>
        <w:t>23.septembrī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273635">
        <w:rPr>
          <w:rFonts w:ascii="Times New Roman" w:hAnsi="Times New Roman" w:cs="Times New Roman"/>
          <w:b/>
          <w:sz w:val="24"/>
          <w:szCs w:val="24"/>
        </w:rPr>
        <w:t xml:space="preserve">23.oktobrī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2D4935FA"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3"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3"/>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6CA88C30"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1916FB83"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21BB7DA0"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30CF1CF9"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0EAA9D70"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7238F"/>
    <w:rsid w:val="000849EB"/>
    <w:rsid w:val="00086C7E"/>
    <w:rsid w:val="00086F8A"/>
    <w:rsid w:val="00095B4D"/>
    <w:rsid w:val="000B1C9D"/>
    <w:rsid w:val="000C58F5"/>
    <w:rsid w:val="000D5866"/>
    <w:rsid w:val="000D73A4"/>
    <w:rsid w:val="000E755F"/>
    <w:rsid w:val="000F20B2"/>
    <w:rsid w:val="000F35AE"/>
    <w:rsid w:val="000F4CFB"/>
    <w:rsid w:val="0011521E"/>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98E"/>
    <w:rsid w:val="00260F7D"/>
    <w:rsid w:val="00273635"/>
    <w:rsid w:val="002778DD"/>
    <w:rsid w:val="00277A8C"/>
    <w:rsid w:val="00292F99"/>
    <w:rsid w:val="002A36C2"/>
    <w:rsid w:val="002C2C0C"/>
    <w:rsid w:val="002D3A33"/>
    <w:rsid w:val="002D7FDC"/>
    <w:rsid w:val="002F30BB"/>
    <w:rsid w:val="002F4398"/>
    <w:rsid w:val="00303384"/>
    <w:rsid w:val="00303A5F"/>
    <w:rsid w:val="00314780"/>
    <w:rsid w:val="00342D5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2C8A"/>
    <w:rsid w:val="004A6150"/>
    <w:rsid w:val="004A7543"/>
    <w:rsid w:val="004B1F23"/>
    <w:rsid w:val="004C00A5"/>
    <w:rsid w:val="004C2E44"/>
    <w:rsid w:val="004D6B2D"/>
    <w:rsid w:val="00506967"/>
    <w:rsid w:val="0051080F"/>
    <w:rsid w:val="0051398F"/>
    <w:rsid w:val="00516712"/>
    <w:rsid w:val="00516B5F"/>
    <w:rsid w:val="00522F17"/>
    <w:rsid w:val="005423A0"/>
    <w:rsid w:val="0054267B"/>
    <w:rsid w:val="00543943"/>
    <w:rsid w:val="00571008"/>
    <w:rsid w:val="005740A7"/>
    <w:rsid w:val="0058532D"/>
    <w:rsid w:val="00590F0E"/>
    <w:rsid w:val="005B0D13"/>
    <w:rsid w:val="005B7672"/>
    <w:rsid w:val="005B7C9C"/>
    <w:rsid w:val="005C25A8"/>
    <w:rsid w:val="005D2EBE"/>
    <w:rsid w:val="005D425F"/>
    <w:rsid w:val="005E00AE"/>
    <w:rsid w:val="005E0AEE"/>
    <w:rsid w:val="005E1BA0"/>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6D1730"/>
    <w:rsid w:val="0070094B"/>
    <w:rsid w:val="00705970"/>
    <w:rsid w:val="00715B5B"/>
    <w:rsid w:val="00725EF6"/>
    <w:rsid w:val="0072614B"/>
    <w:rsid w:val="0073406E"/>
    <w:rsid w:val="00760291"/>
    <w:rsid w:val="00764BB5"/>
    <w:rsid w:val="0077059D"/>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8F24B3"/>
    <w:rsid w:val="009034FA"/>
    <w:rsid w:val="00904F8B"/>
    <w:rsid w:val="00906F7B"/>
    <w:rsid w:val="00911BFD"/>
    <w:rsid w:val="00915BE8"/>
    <w:rsid w:val="00930A28"/>
    <w:rsid w:val="0094266B"/>
    <w:rsid w:val="009814C7"/>
    <w:rsid w:val="009B7B06"/>
    <w:rsid w:val="009C12D5"/>
    <w:rsid w:val="009D1D5D"/>
    <w:rsid w:val="009F06A7"/>
    <w:rsid w:val="00A10864"/>
    <w:rsid w:val="00A112CC"/>
    <w:rsid w:val="00A16F65"/>
    <w:rsid w:val="00A23408"/>
    <w:rsid w:val="00A379FF"/>
    <w:rsid w:val="00A468E4"/>
    <w:rsid w:val="00A51755"/>
    <w:rsid w:val="00A575F3"/>
    <w:rsid w:val="00A812D2"/>
    <w:rsid w:val="00A872DC"/>
    <w:rsid w:val="00A9778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853F9"/>
    <w:rsid w:val="00F94ECE"/>
    <w:rsid w:val="00F9581D"/>
    <w:rsid w:val="00F95CFC"/>
    <w:rsid w:val="00FA2125"/>
    <w:rsid w:val="00FA355A"/>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8968</Words>
  <Characters>5113</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11</cp:revision>
  <cp:lastPrinted>2022-09-14T08:56:00Z</cp:lastPrinted>
  <dcterms:created xsi:type="dcterms:W3CDTF">2025-09-02T06:41:00Z</dcterms:created>
  <dcterms:modified xsi:type="dcterms:W3CDTF">2025-09-17T08:30:00Z</dcterms:modified>
</cp:coreProperties>
</file>