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B3CA087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C80710">
        <w:t>3</w:t>
      </w:r>
      <w:r w:rsidR="0001404C">
        <w:t>1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25027201" w:rsidR="00515432" w:rsidRDefault="00515432" w:rsidP="00515432">
      <w:r>
        <w:t>202</w:t>
      </w:r>
      <w:r w:rsidR="0015593B">
        <w:t>4</w:t>
      </w:r>
      <w:r>
        <w:t xml:space="preserve">.gada </w:t>
      </w:r>
      <w:r w:rsidR="0001404C">
        <w:t>27</w:t>
      </w:r>
      <w:r w:rsidR="00160BF1">
        <w:t>.novembrī</w:t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E667C8">
        <w:t>2</w:t>
      </w:r>
      <w:r w:rsidR="0078487F">
        <w:t>3</w:t>
      </w:r>
    </w:p>
    <w:p w14:paraId="789AD54D" w14:textId="53114B61" w:rsidR="00515432" w:rsidRDefault="00515432" w:rsidP="005C7498">
      <w:pPr>
        <w:jc w:val="center"/>
        <w:rPr>
          <w:b/>
          <w:sz w:val="28"/>
        </w:rPr>
      </w:pPr>
    </w:p>
    <w:p w14:paraId="0C49B52C" w14:textId="77777777" w:rsidR="00F45C00" w:rsidRDefault="00F45C00" w:rsidP="00F45C00">
      <w:pPr>
        <w:ind w:right="-625"/>
        <w:rPr>
          <w:rFonts w:eastAsia="Lucida Sans Unicode"/>
          <w:b/>
          <w:bCs/>
          <w:lang w:eastAsia="ar-SA"/>
        </w:rPr>
      </w:pPr>
    </w:p>
    <w:p w14:paraId="3BB4C907" w14:textId="77777777" w:rsidR="0078487F" w:rsidRPr="0078487F" w:rsidRDefault="0078487F" w:rsidP="0078487F">
      <w:pPr>
        <w:pStyle w:val="ListParagraph"/>
        <w:ind w:left="0"/>
        <w:jc w:val="center"/>
        <w:rPr>
          <w:b/>
          <w:bCs/>
          <w:color w:val="000000" w:themeColor="text1"/>
          <w:u w:val="single"/>
        </w:rPr>
      </w:pPr>
      <w:r w:rsidRPr="0078487F">
        <w:rPr>
          <w:b/>
          <w:bCs/>
          <w:u w:val="single"/>
        </w:rPr>
        <w:t xml:space="preserve">Par </w:t>
      </w:r>
      <w:bookmarkStart w:id="0" w:name="_Hlk140153886"/>
      <w:r w:rsidRPr="0078487F">
        <w:rPr>
          <w:b/>
          <w:bCs/>
          <w:u w:val="single"/>
        </w:rPr>
        <w:t>Ozolnieku pirmsskolas izglītības iestādes “Pūcīte”</w:t>
      </w:r>
      <w:r w:rsidRPr="0078487F">
        <w:rPr>
          <w:u w:val="single"/>
        </w:rPr>
        <w:t xml:space="preserve"> </w:t>
      </w:r>
      <w:r w:rsidRPr="0078487F">
        <w:rPr>
          <w:b/>
          <w:bCs/>
          <w:u w:val="single"/>
        </w:rPr>
        <w:t>sniegto</w:t>
      </w:r>
      <w:r w:rsidRPr="0078487F">
        <w:rPr>
          <w:u w:val="single"/>
        </w:rPr>
        <w:t xml:space="preserve"> </w:t>
      </w:r>
      <w:r w:rsidRPr="0078487F">
        <w:rPr>
          <w:b/>
          <w:bCs/>
          <w:u w:val="single"/>
        </w:rPr>
        <w:t xml:space="preserve">maksas </w:t>
      </w:r>
      <w:r w:rsidRPr="0078487F">
        <w:rPr>
          <w:b/>
          <w:u w:val="single"/>
        </w:rPr>
        <w:t xml:space="preserve">pakalpojumu </w:t>
      </w:r>
      <w:r w:rsidRPr="0078487F">
        <w:rPr>
          <w:b/>
          <w:bCs/>
          <w:u w:val="single"/>
        </w:rPr>
        <w:t>cenrāža apstiprināšanu</w:t>
      </w:r>
    </w:p>
    <w:bookmarkEnd w:id="0"/>
    <w:p w14:paraId="2190F846" w14:textId="77777777" w:rsidR="0078487F" w:rsidRDefault="0078487F" w:rsidP="0078487F">
      <w:pPr>
        <w:pStyle w:val="ListParagraph"/>
        <w:ind w:left="0"/>
        <w:jc w:val="both"/>
        <w:rPr>
          <w:b/>
          <w:bCs/>
        </w:rPr>
      </w:pPr>
    </w:p>
    <w:p w14:paraId="51914A07" w14:textId="77777777" w:rsidR="0078487F" w:rsidRDefault="0078487F" w:rsidP="0078487F">
      <w:pPr>
        <w:pStyle w:val="ListParagraph"/>
        <w:ind w:left="0"/>
        <w:jc w:val="both"/>
        <w:rPr>
          <w:b/>
          <w:bCs/>
        </w:rPr>
      </w:pPr>
    </w:p>
    <w:p w14:paraId="4DD1DC03" w14:textId="4614BF62" w:rsidR="0078487F" w:rsidRDefault="0078487F" w:rsidP="0078487F">
      <w:pPr>
        <w:ind w:right="-1" w:firstLine="567"/>
        <w:jc w:val="both"/>
        <w:rPr>
          <w:b/>
        </w:rPr>
      </w:pPr>
      <w:r w:rsidRPr="007A6411">
        <w:t>Pamatojoties uz Pašvaldību likuma 10.panta pirmās daļas 21.punktu, Ministru kabineta 2018.gada 20.februāra noteikumu Nr. 97 “Publiskas personas mantas iznomāšanas noteikumi” 4.</w:t>
      </w:r>
      <w:r>
        <w:t>1.,</w:t>
      </w:r>
      <w:r w:rsidRPr="007A6411">
        <w:t xml:space="preserve"> 5.</w:t>
      </w:r>
      <w:r>
        <w:t xml:space="preserve"> un 87.5.</w:t>
      </w:r>
      <w:r w:rsidRPr="007A6411">
        <w:t>punktu</w:t>
      </w:r>
      <w:r w:rsidRPr="006A3333">
        <w:t xml:space="preserve">, </w:t>
      </w:r>
      <w:r>
        <w:t xml:space="preserve">2024.gada 29.maija </w:t>
      </w:r>
      <w:r w:rsidRPr="007A6411">
        <w:t>iekšējiem noteikumiem</w:t>
      </w:r>
      <w:r>
        <w:t xml:space="preserve"> “</w:t>
      </w:r>
      <w:r w:rsidRPr="007A6411">
        <w:t>Jelgavas novada pašvaldības iestāžu un struktūrvienību sniegto maksas pakalpojumu izcenojumu aprēķināšanas metodika un apstiprināšanas kārtība</w:t>
      </w:r>
      <w:r>
        <w:t xml:space="preserve">”, </w:t>
      </w:r>
    </w:p>
    <w:p w14:paraId="481B95F1" w14:textId="77777777" w:rsidR="0083187E" w:rsidRPr="0078487F" w:rsidRDefault="0083187E" w:rsidP="0083187E">
      <w:pPr>
        <w:ind w:right="-1" w:firstLine="567"/>
        <w:jc w:val="both"/>
        <w:rPr>
          <w:b/>
          <w:sz w:val="16"/>
          <w:szCs w:val="16"/>
        </w:rPr>
      </w:pPr>
    </w:p>
    <w:p w14:paraId="5F2D1D75" w14:textId="77777777" w:rsidR="0078487F" w:rsidRDefault="0078487F" w:rsidP="0078487F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60CFF72E" w14:textId="77777777" w:rsidR="0078487F" w:rsidRDefault="0078487F" w:rsidP="0078487F">
      <w:pPr>
        <w:ind w:right="-1"/>
        <w:jc w:val="both"/>
      </w:pPr>
      <w:r w:rsidRPr="003524AD">
        <w:rPr>
          <w:b/>
          <w:bCs/>
        </w:rPr>
        <w:t>PAR</w:t>
      </w:r>
      <w:r w:rsidRPr="003524AD">
        <w:t xml:space="preserve"> </w:t>
      </w:r>
      <w:r w:rsidRPr="003524AD">
        <w:rPr>
          <w:b/>
          <w:bCs/>
        </w:rPr>
        <w:t xml:space="preserve">– </w:t>
      </w:r>
      <w:r>
        <w:rPr>
          <w:b/>
          <w:bCs/>
        </w:rPr>
        <w:t>15</w:t>
      </w:r>
      <w:r w:rsidRPr="003524AD">
        <w:t xml:space="preserve"> balsis</w:t>
      </w:r>
      <w:r>
        <w:t xml:space="preserve">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Emīls Dobrājs, Gundars Liepa, Irina </w:t>
      </w:r>
      <w:proofErr w:type="spellStart"/>
      <w:r>
        <w:t>Dolgova</w:t>
      </w:r>
      <w:proofErr w:type="spellEnd"/>
      <w:r>
        <w:t xml:space="preserve">, Jānis </w:t>
      </w:r>
      <w:proofErr w:type="spellStart"/>
      <w:r>
        <w:t>Kažotnieks</w:t>
      </w:r>
      <w:proofErr w:type="spellEnd"/>
      <w:r>
        <w:t xml:space="preserve">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>, Madars Lasmanis, Oskars Cīrulis,</w:t>
      </w:r>
      <w:r>
        <w:rPr>
          <w:noProof/>
        </w:rPr>
        <w:t xml:space="preserve"> Pēteris Veļeckis, Uldis Ainārs,</w:t>
      </w:r>
      <w:r>
        <w:t xml:space="preserve"> Vidmants </w:t>
      </w:r>
      <w:proofErr w:type="spellStart"/>
      <w:r>
        <w:t>Rinkuns</w:t>
      </w:r>
      <w:proofErr w:type="spellEnd"/>
      <w:r w:rsidRPr="00E97CA1">
        <w:t xml:space="preserve">); </w:t>
      </w:r>
    </w:p>
    <w:p w14:paraId="254A8C36" w14:textId="77777777" w:rsidR="0078487F" w:rsidRDefault="0078487F" w:rsidP="0078487F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7F1A7B1" w14:textId="77777777" w:rsidR="0078487F" w:rsidRDefault="0078487F" w:rsidP="0078487F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4CBB145B" w14:textId="77777777" w:rsidR="0078487F" w:rsidRDefault="0078487F" w:rsidP="0078487F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4008C5D8" w14:textId="77777777" w:rsidR="0078487F" w:rsidRPr="006A3333" w:rsidRDefault="0078487F" w:rsidP="0078487F">
      <w:pPr>
        <w:numPr>
          <w:ilvl w:val="0"/>
          <w:numId w:val="22"/>
        </w:numPr>
        <w:tabs>
          <w:tab w:val="clear" w:pos="720"/>
          <w:tab w:val="num" w:pos="567"/>
        </w:tabs>
        <w:spacing w:line="276" w:lineRule="auto"/>
        <w:ind w:hanging="436"/>
        <w:contextualSpacing/>
        <w:jc w:val="both"/>
      </w:pPr>
      <w:r w:rsidRPr="006A3333">
        <w:t>Apstiprināt</w:t>
      </w:r>
      <w:r>
        <w:t xml:space="preserve"> Ozolnieku pirmsskolas izglītības iestādes “Pūcīte”</w:t>
      </w:r>
      <w:r w:rsidRPr="002D06D8">
        <w:t xml:space="preserve"> </w:t>
      </w:r>
      <w:r>
        <w:t xml:space="preserve">sniegto </w:t>
      </w:r>
      <w:r w:rsidRPr="002D06D8">
        <w:t xml:space="preserve">maksas </w:t>
      </w:r>
      <w:r>
        <w:t xml:space="preserve">pakalpojumu </w:t>
      </w:r>
      <w:r w:rsidRPr="002D06D8">
        <w:t>cenrā</w:t>
      </w:r>
      <w:r>
        <w:t>di</w:t>
      </w:r>
      <w:r w:rsidRPr="002D06D8">
        <w:t xml:space="preserve"> </w:t>
      </w:r>
      <w:r>
        <w:t>(pielikumā).</w:t>
      </w:r>
    </w:p>
    <w:p w14:paraId="2B9AC0B1" w14:textId="77777777" w:rsidR="0078487F" w:rsidRPr="006A3333" w:rsidRDefault="0078487F" w:rsidP="0078487F">
      <w:pPr>
        <w:pStyle w:val="ListParagraph"/>
        <w:numPr>
          <w:ilvl w:val="0"/>
          <w:numId w:val="22"/>
        </w:numPr>
        <w:spacing w:after="160" w:line="276" w:lineRule="auto"/>
        <w:ind w:left="567" w:hanging="283"/>
        <w:jc w:val="both"/>
      </w:pPr>
      <w:r w:rsidRPr="006A3333">
        <w:t>Lēmums stājas spēkā ar 202</w:t>
      </w:r>
      <w:r>
        <w:t>5</w:t>
      </w:r>
      <w:r w:rsidRPr="006A3333">
        <w:t xml:space="preserve">.gada </w:t>
      </w:r>
      <w:r>
        <w:t>1.janvāri</w:t>
      </w:r>
      <w:r w:rsidRPr="006A3333">
        <w:t>.</w:t>
      </w:r>
    </w:p>
    <w:p w14:paraId="6ADF1C3E" w14:textId="77777777" w:rsidR="0078487F" w:rsidRPr="00EA6739" w:rsidRDefault="0078487F" w:rsidP="0078487F">
      <w:pPr>
        <w:pStyle w:val="ListParagraph"/>
        <w:numPr>
          <w:ilvl w:val="0"/>
          <w:numId w:val="22"/>
        </w:numPr>
        <w:spacing w:after="160" w:line="276" w:lineRule="auto"/>
        <w:ind w:left="567" w:hanging="283"/>
        <w:jc w:val="both"/>
      </w:pPr>
      <w:r w:rsidRPr="00EA6739">
        <w:t xml:space="preserve">Ar šī lēmuma spēkā stāšanās brīdi spēku zaudē Jelgavas novada domes </w:t>
      </w:r>
      <w:r>
        <w:t>2023.gada 29.marta</w:t>
      </w:r>
      <w:r w:rsidRPr="00EA6739">
        <w:t xml:space="preserve"> domes sēdes Nr. 8 Lēmums Nr. 40 "Par nedzīvojamo telpu nodošanu nomā un nomas maksas apstiprināšanu" (protokols Nr. Nr. 8/2023)  2.2. un 2.3. apakšpunkts.</w:t>
      </w:r>
    </w:p>
    <w:p w14:paraId="0C4B5D7A" w14:textId="77777777" w:rsidR="0078487F" w:rsidRDefault="0078487F" w:rsidP="0078487F">
      <w:pPr>
        <w:pStyle w:val="ListParagraph"/>
        <w:numPr>
          <w:ilvl w:val="0"/>
          <w:numId w:val="22"/>
        </w:numPr>
        <w:spacing w:after="160" w:line="276" w:lineRule="auto"/>
        <w:ind w:left="567" w:hanging="283"/>
        <w:jc w:val="both"/>
      </w:pPr>
      <w:r w:rsidRPr="006A3333">
        <w:t xml:space="preserve">Apstiprināto </w:t>
      </w:r>
      <w:r w:rsidRPr="00D76BDC">
        <w:rPr>
          <w:bCs/>
        </w:rPr>
        <w:t xml:space="preserve">sniegto maksas pakalpojumu </w:t>
      </w:r>
      <w:r w:rsidRPr="006A3333">
        <w:t>cenrādi publicēt Jelgavas novada pašvaldības tīmekļa vietnē</w:t>
      </w:r>
      <w:r>
        <w:t xml:space="preserve"> </w:t>
      </w:r>
      <w:hyperlink r:id="rId7" w:history="1">
        <w:r w:rsidRPr="007D0276">
          <w:rPr>
            <w:rStyle w:val="Hyperlink"/>
            <w:rFonts w:eastAsiaTheme="majorEastAsia"/>
            <w:color w:val="auto"/>
          </w:rPr>
          <w:t>www.jelgavasnovads.lv</w:t>
        </w:r>
      </w:hyperlink>
      <w:r>
        <w:t>.</w:t>
      </w:r>
    </w:p>
    <w:p w14:paraId="424DDAFA" w14:textId="77777777" w:rsidR="0078487F" w:rsidRPr="006A3333" w:rsidRDefault="0078487F" w:rsidP="0078487F">
      <w:pPr>
        <w:pStyle w:val="ListParagraph"/>
        <w:numPr>
          <w:ilvl w:val="0"/>
          <w:numId w:val="22"/>
        </w:numPr>
        <w:spacing w:after="160" w:line="276" w:lineRule="auto"/>
        <w:ind w:left="567" w:hanging="283"/>
        <w:jc w:val="both"/>
      </w:pPr>
      <w:r>
        <w:t xml:space="preserve">Kontroli par lēmuma izpildi uzdot Jelgavas novada Izglītības pārvaldei. </w:t>
      </w:r>
    </w:p>
    <w:p w14:paraId="521D4C62" w14:textId="77D22F9A" w:rsidR="00623A3C" w:rsidRDefault="00623A3C" w:rsidP="0000621B">
      <w:pPr>
        <w:spacing w:before="120"/>
        <w:jc w:val="both"/>
      </w:pPr>
    </w:p>
    <w:p w14:paraId="55791277" w14:textId="77777777" w:rsidR="0078487F" w:rsidRDefault="0078487F" w:rsidP="0000621B">
      <w:pPr>
        <w:spacing w:before="120"/>
        <w:jc w:val="both"/>
      </w:pPr>
    </w:p>
    <w:p w14:paraId="316ACE81" w14:textId="37E87F09" w:rsidR="00543A69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B4791B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580571">
        <w:t xml:space="preserve">            </w:t>
      </w:r>
      <w:proofErr w:type="spellStart"/>
      <w:r w:rsidR="00B4791B">
        <w:t>U.Ainārs</w:t>
      </w:r>
      <w:proofErr w:type="spellEnd"/>
      <w:r w:rsidR="00442D1D">
        <w:t xml:space="preserve"> </w:t>
      </w:r>
    </w:p>
    <w:p w14:paraId="6D5E5ECC" w14:textId="5867B2D7" w:rsidR="0002418A" w:rsidRDefault="0002418A" w:rsidP="0000621B">
      <w:pPr>
        <w:spacing w:before="120"/>
        <w:jc w:val="both"/>
      </w:pPr>
    </w:p>
    <w:p w14:paraId="1D44D054" w14:textId="73F8E168" w:rsidR="0002418A" w:rsidRDefault="0002418A" w:rsidP="0000621B">
      <w:pPr>
        <w:spacing w:before="120"/>
        <w:jc w:val="both"/>
      </w:pPr>
    </w:p>
    <w:p w14:paraId="2DEC4A25" w14:textId="5CE52E8D" w:rsidR="0002418A" w:rsidRDefault="0002418A" w:rsidP="0000621B">
      <w:pPr>
        <w:spacing w:before="120"/>
        <w:jc w:val="both"/>
      </w:pPr>
    </w:p>
    <w:p w14:paraId="5F37D181" w14:textId="7B6D2C7C" w:rsidR="0002418A" w:rsidRDefault="0002418A" w:rsidP="0000621B">
      <w:pPr>
        <w:spacing w:before="120"/>
        <w:jc w:val="both"/>
      </w:pPr>
    </w:p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lastRenderedPageBreak/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734E0DC1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78487F">
        <w:rPr>
          <w:iCs/>
        </w:rPr>
        <w:t>3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29B2E78F" w14:textId="77777777" w:rsidR="0078487F" w:rsidRPr="004F30E1" w:rsidRDefault="0078487F" w:rsidP="0078487F">
      <w:pPr>
        <w:jc w:val="center"/>
        <w:rPr>
          <w:b/>
        </w:rPr>
      </w:pPr>
      <w:r>
        <w:rPr>
          <w:b/>
        </w:rPr>
        <w:t>Ozolnieku pirmsskolas izglītības iestādes “Pūcīte”</w:t>
      </w:r>
    </w:p>
    <w:p w14:paraId="4F6A14E4" w14:textId="77777777" w:rsidR="0078487F" w:rsidRPr="004F30E1" w:rsidRDefault="0078487F" w:rsidP="0078487F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33B054A8" w14:textId="77777777" w:rsidR="0078487F" w:rsidRPr="004F30E1" w:rsidRDefault="0078487F" w:rsidP="0078487F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376"/>
        <w:gridCol w:w="2052"/>
        <w:gridCol w:w="1403"/>
        <w:gridCol w:w="876"/>
        <w:gridCol w:w="883"/>
        <w:gridCol w:w="1156"/>
      </w:tblGrid>
      <w:tr w:rsidR="0078487F" w14:paraId="5FBB5F9E" w14:textId="77777777" w:rsidTr="00CF741E">
        <w:tc>
          <w:tcPr>
            <w:tcW w:w="576" w:type="dxa"/>
            <w:vAlign w:val="center"/>
          </w:tcPr>
          <w:p w14:paraId="0EAC851B" w14:textId="77777777" w:rsidR="0078487F" w:rsidRDefault="0078487F" w:rsidP="00CF741E">
            <w:pPr>
              <w:jc w:val="both"/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0B7B08A5" w14:textId="77777777" w:rsidR="0078487F" w:rsidRDefault="0078487F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A075F63" w14:textId="77777777" w:rsidR="0078487F" w:rsidRDefault="0078487F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57E30A57" w14:textId="77777777" w:rsidR="0078487F" w:rsidRDefault="0078487F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C10A058" w14:textId="77777777" w:rsidR="0078487F" w:rsidRDefault="0078487F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4E429A8" w14:textId="77777777" w:rsidR="0078487F" w:rsidRDefault="0078487F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1156" w:type="dxa"/>
            <w:vAlign w:val="center"/>
          </w:tcPr>
          <w:p w14:paraId="201EFC22" w14:textId="77777777" w:rsidR="0078487F" w:rsidRDefault="0078487F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78487F" w:rsidRPr="00AD6CB1" w14:paraId="3C3027D4" w14:textId="77777777" w:rsidTr="00CF741E">
        <w:tc>
          <w:tcPr>
            <w:tcW w:w="576" w:type="dxa"/>
            <w:vAlign w:val="center"/>
          </w:tcPr>
          <w:p w14:paraId="3250243D" w14:textId="77777777" w:rsidR="0078487F" w:rsidRPr="00AD6CB1" w:rsidRDefault="0078487F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478B0AF5" w14:textId="77777777" w:rsidR="0078487F" w:rsidRPr="00AD6CB1" w:rsidRDefault="0078487F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78487F" w14:paraId="3F85383D" w14:textId="77777777" w:rsidTr="00CF741E">
        <w:tc>
          <w:tcPr>
            <w:tcW w:w="576" w:type="dxa"/>
            <w:vAlign w:val="center"/>
          </w:tcPr>
          <w:p w14:paraId="1E74CD27" w14:textId="77777777" w:rsidR="0078487F" w:rsidRDefault="0078487F" w:rsidP="00CF741E">
            <w:pPr>
              <w:jc w:val="both"/>
            </w:pPr>
            <w:r>
              <w:t>1.1.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1EF228B" w14:textId="77777777" w:rsidR="0078487F" w:rsidRDefault="0078487F" w:rsidP="00CF741E"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052" w:type="dxa"/>
            <w:shd w:val="clear" w:color="auto" w:fill="auto"/>
          </w:tcPr>
          <w:p w14:paraId="4E0CEC03" w14:textId="77777777" w:rsidR="0078487F" w:rsidRDefault="0078487F" w:rsidP="00CF741E">
            <w:r w:rsidRPr="000D4172">
              <w:t>Stadiona iela 2, Ozolnieki, Ozolnieku pagasts, Jelgavas novads, LV-3018</w:t>
            </w:r>
            <w:r>
              <w:t>;</w:t>
            </w:r>
            <w:r w:rsidRPr="000D4172">
              <w:t xml:space="preserve"> Rīgas iela 29,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60C70DCD" w14:textId="77777777" w:rsidR="0078487F" w:rsidRDefault="0078487F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6952BB" w14:textId="77777777" w:rsidR="0078487F" w:rsidRDefault="0078487F" w:rsidP="00CF741E">
            <w:pPr>
              <w:jc w:val="center"/>
            </w:pPr>
            <w:r>
              <w:rPr>
                <w:color w:val="000000"/>
              </w:rPr>
              <w:t>11,57</w:t>
            </w:r>
          </w:p>
        </w:tc>
        <w:tc>
          <w:tcPr>
            <w:tcW w:w="883" w:type="dxa"/>
            <w:vAlign w:val="center"/>
          </w:tcPr>
          <w:p w14:paraId="1697A0EF" w14:textId="77777777" w:rsidR="0078487F" w:rsidRDefault="0078487F" w:rsidP="00CF741E">
            <w:pPr>
              <w:jc w:val="center"/>
            </w:pPr>
            <w:r>
              <w:t>2,43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205B1DC" w14:textId="77777777" w:rsidR="0078487F" w:rsidRDefault="0078487F" w:rsidP="00CF741E">
            <w:pPr>
              <w:jc w:val="center"/>
            </w:pPr>
            <w:r>
              <w:t>14,00</w:t>
            </w:r>
          </w:p>
        </w:tc>
      </w:tr>
      <w:tr w:rsidR="0078487F" w14:paraId="254FDAF9" w14:textId="77777777" w:rsidTr="00CF741E">
        <w:tc>
          <w:tcPr>
            <w:tcW w:w="576" w:type="dxa"/>
            <w:vAlign w:val="center"/>
          </w:tcPr>
          <w:p w14:paraId="74CB448A" w14:textId="77777777" w:rsidR="0078487F" w:rsidRDefault="0078487F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5114DCE" w14:textId="77777777" w:rsidR="0078487F" w:rsidRPr="00916E13" w:rsidRDefault="0078487F" w:rsidP="00CF741E"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52" w:type="dxa"/>
          </w:tcPr>
          <w:p w14:paraId="73E2B26C" w14:textId="77777777" w:rsidR="0078487F" w:rsidRDefault="0078487F" w:rsidP="00CF741E">
            <w:pPr>
              <w:rPr>
                <w:color w:val="000000"/>
              </w:rPr>
            </w:pPr>
            <w:r w:rsidRPr="000D4172">
              <w:t>Stadiona iela 2, Ozolnieki, Ozolnieku pagasts, Jelgavas novads, LV-3018</w:t>
            </w:r>
            <w:r>
              <w:t>;</w:t>
            </w:r>
            <w:r w:rsidRPr="000D4172">
              <w:t xml:space="preserve"> Rīgas iela 29,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5AE3CA3A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FD1E99C" w14:textId="77777777" w:rsidR="0078487F" w:rsidRPr="004A23BC" w:rsidRDefault="0078487F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5,785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2FBFE01" w14:textId="77777777" w:rsidR="0078487F" w:rsidRDefault="0078487F" w:rsidP="00CF741E">
            <w:pPr>
              <w:jc w:val="center"/>
            </w:pPr>
            <w:r>
              <w:t>1,215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84C61C6" w14:textId="77777777" w:rsidR="0078487F" w:rsidRDefault="0078487F" w:rsidP="00CF741E">
            <w:pPr>
              <w:jc w:val="center"/>
            </w:pPr>
            <w:r>
              <w:t>7,00</w:t>
            </w:r>
          </w:p>
        </w:tc>
      </w:tr>
      <w:tr w:rsidR="0078487F" w14:paraId="165CC4DE" w14:textId="77777777" w:rsidTr="00CF741E">
        <w:tc>
          <w:tcPr>
            <w:tcW w:w="576" w:type="dxa"/>
            <w:vAlign w:val="center"/>
          </w:tcPr>
          <w:p w14:paraId="0390479F" w14:textId="77777777" w:rsidR="0078487F" w:rsidRPr="00FC21F7" w:rsidRDefault="0078487F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1.3.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11844F9" w14:textId="77777777" w:rsidR="0078487F" w:rsidRPr="00916E13" w:rsidRDefault="0078487F" w:rsidP="00CF741E"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052" w:type="dxa"/>
          </w:tcPr>
          <w:p w14:paraId="2B1AF6B9" w14:textId="77777777" w:rsidR="0078487F" w:rsidRDefault="0078487F" w:rsidP="00CF741E">
            <w:pPr>
              <w:rPr>
                <w:color w:val="000000"/>
              </w:rPr>
            </w:pPr>
            <w:r w:rsidRPr="000D4172">
              <w:t>Rīgas iela 29,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4477F11F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86A0AE7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14,875</w:t>
            </w:r>
          </w:p>
        </w:tc>
        <w:tc>
          <w:tcPr>
            <w:tcW w:w="883" w:type="dxa"/>
            <w:vAlign w:val="center"/>
          </w:tcPr>
          <w:p w14:paraId="27311530" w14:textId="77777777" w:rsidR="0078487F" w:rsidRDefault="0078487F" w:rsidP="00CF741E">
            <w:pPr>
              <w:jc w:val="center"/>
            </w:pPr>
            <w:r>
              <w:t>3,124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106A10A" w14:textId="77777777" w:rsidR="0078487F" w:rsidRDefault="0078487F" w:rsidP="00CF741E">
            <w:pPr>
              <w:jc w:val="center"/>
            </w:pPr>
            <w:r>
              <w:t>18,00</w:t>
            </w:r>
          </w:p>
        </w:tc>
      </w:tr>
      <w:tr w:rsidR="0078487F" w14:paraId="3DFA51D8" w14:textId="77777777" w:rsidTr="00CF741E">
        <w:tc>
          <w:tcPr>
            <w:tcW w:w="576" w:type="dxa"/>
            <w:vAlign w:val="center"/>
          </w:tcPr>
          <w:p w14:paraId="7FF93004" w14:textId="77777777" w:rsidR="0078487F" w:rsidRPr="00FC21F7" w:rsidRDefault="0078487F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1.4.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5B41293" w14:textId="77777777" w:rsidR="0078487F" w:rsidRPr="00916E13" w:rsidRDefault="0078487F" w:rsidP="00CF741E"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052" w:type="dxa"/>
          </w:tcPr>
          <w:p w14:paraId="38395477" w14:textId="77777777" w:rsidR="0078487F" w:rsidRDefault="0078487F" w:rsidP="00CF741E">
            <w:pPr>
              <w:rPr>
                <w:color w:val="000000"/>
              </w:rPr>
            </w:pPr>
            <w:r w:rsidRPr="000D4172">
              <w:t>Rīgas iela 29,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0A6A2284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BAC7CB" w14:textId="77777777" w:rsidR="0078487F" w:rsidRPr="004A23BC" w:rsidRDefault="0078487F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7,44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2C8F862C" w14:textId="77777777" w:rsidR="0078487F" w:rsidRDefault="0078487F" w:rsidP="00CF741E">
            <w:pPr>
              <w:jc w:val="center"/>
            </w:pPr>
            <w:r>
              <w:t>1,56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1B0E25" w14:textId="77777777" w:rsidR="0078487F" w:rsidRDefault="0078487F" w:rsidP="00CF741E">
            <w:pPr>
              <w:jc w:val="center"/>
            </w:pPr>
            <w:r>
              <w:t>9,00</w:t>
            </w:r>
          </w:p>
        </w:tc>
      </w:tr>
      <w:tr w:rsidR="0078487F" w14:paraId="22391066" w14:textId="77777777" w:rsidTr="00CF741E">
        <w:tc>
          <w:tcPr>
            <w:tcW w:w="576" w:type="dxa"/>
            <w:vAlign w:val="center"/>
          </w:tcPr>
          <w:p w14:paraId="4722B258" w14:textId="77777777" w:rsidR="0078487F" w:rsidRPr="00FC21F7" w:rsidRDefault="0078487F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1.5.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920C2DF" w14:textId="77777777" w:rsidR="0078487F" w:rsidRPr="00916E13" w:rsidRDefault="0078487F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052" w:type="dxa"/>
          </w:tcPr>
          <w:p w14:paraId="18E0A3E1" w14:textId="77777777" w:rsidR="0078487F" w:rsidRDefault="0078487F" w:rsidP="00CF741E">
            <w:pPr>
              <w:rPr>
                <w:color w:val="000000"/>
              </w:rPr>
            </w:pPr>
            <w:r w:rsidRPr="000D4172">
              <w:t>Stadiona iela 2,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7CFBB16C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D26F66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4A087CF0" w14:textId="77777777" w:rsidR="0078487F" w:rsidRDefault="0078487F" w:rsidP="00CF741E">
            <w:pPr>
              <w:jc w:val="center"/>
            </w:pPr>
            <w:r>
              <w:t>3,47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2ADD7B5" w14:textId="77777777" w:rsidR="0078487F" w:rsidRDefault="0078487F" w:rsidP="00CF741E">
            <w:pPr>
              <w:jc w:val="center"/>
            </w:pPr>
            <w:r>
              <w:t>20,00</w:t>
            </w:r>
          </w:p>
        </w:tc>
      </w:tr>
      <w:tr w:rsidR="0078487F" w14:paraId="7C8ED349" w14:textId="77777777" w:rsidTr="00CF741E">
        <w:tc>
          <w:tcPr>
            <w:tcW w:w="576" w:type="dxa"/>
            <w:vAlign w:val="center"/>
          </w:tcPr>
          <w:p w14:paraId="0EDAC658" w14:textId="77777777" w:rsidR="0078487F" w:rsidRPr="00FC21F7" w:rsidRDefault="0078487F" w:rsidP="00CF741E">
            <w:pPr>
              <w:jc w:val="both"/>
              <w:rPr>
                <w:color w:val="000000"/>
              </w:rPr>
            </w:pPr>
            <w:bookmarkStart w:id="1" w:name="_GoBack"/>
            <w:bookmarkEnd w:id="1"/>
            <w:r w:rsidRPr="00FC21F7">
              <w:rPr>
                <w:color w:val="000000"/>
              </w:rPr>
              <w:t>1.6.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9F7D737" w14:textId="77777777" w:rsidR="0078487F" w:rsidRPr="00916E13" w:rsidRDefault="0078487F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 xml:space="preserve">juridiskām un fiziskām personām, kas īsteno interešu </w:t>
            </w:r>
            <w:r w:rsidRPr="00F23366">
              <w:rPr>
                <w:color w:val="000000"/>
              </w:rPr>
              <w:lastRenderedPageBreak/>
              <w:t>izglītības programmas Jelgavas novada izglītojamajiem</w:t>
            </w:r>
          </w:p>
        </w:tc>
        <w:tc>
          <w:tcPr>
            <w:tcW w:w="2052" w:type="dxa"/>
          </w:tcPr>
          <w:p w14:paraId="34084122" w14:textId="77777777" w:rsidR="0078487F" w:rsidRDefault="0078487F" w:rsidP="00CF741E">
            <w:pPr>
              <w:rPr>
                <w:color w:val="000000"/>
              </w:rPr>
            </w:pPr>
            <w:r w:rsidRPr="000D4172">
              <w:lastRenderedPageBreak/>
              <w:t>Stadiona iela 2, Ozolnieki, Ozolnieku pagasts, Jelgavas novads, LV-3018</w:t>
            </w:r>
          </w:p>
        </w:tc>
        <w:tc>
          <w:tcPr>
            <w:tcW w:w="1403" w:type="dxa"/>
            <w:vAlign w:val="center"/>
          </w:tcPr>
          <w:p w14:paraId="3BB77B69" w14:textId="77777777" w:rsidR="0078487F" w:rsidRDefault="0078487F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9063E9E" w14:textId="77777777" w:rsidR="0078487F" w:rsidRPr="004A23BC" w:rsidRDefault="0078487F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8,265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F9CF436" w14:textId="77777777" w:rsidR="0078487F" w:rsidRDefault="0078487F" w:rsidP="00CF741E">
            <w:pPr>
              <w:jc w:val="center"/>
            </w:pPr>
            <w:r>
              <w:t>1,736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3519A07" w14:textId="77777777" w:rsidR="0078487F" w:rsidRDefault="0078487F" w:rsidP="00CF741E">
            <w:pPr>
              <w:jc w:val="center"/>
            </w:pPr>
            <w:r>
              <w:t>10,00</w:t>
            </w:r>
          </w:p>
        </w:tc>
      </w:tr>
    </w:tbl>
    <w:p w14:paraId="0E4C8212" w14:textId="77777777" w:rsidR="0078487F" w:rsidRPr="004F30E1" w:rsidRDefault="0078487F" w:rsidP="0078487F">
      <w:pPr>
        <w:jc w:val="both"/>
      </w:pPr>
    </w:p>
    <w:p w14:paraId="2826AB68" w14:textId="77777777" w:rsidR="0078487F" w:rsidRDefault="0078487F" w:rsidP="0078487F"/>
    <w:p w14:paraId="6E8A7777" w14:textId="77777777" w:rsidR="0078487F" w:rsidRDefault="0078487F" w:rsidP="0078487F">
      <w:pPr>
        <w:tabs>
          <w:tab w:val="left" w:pos="1418"/>
        </w:tabs>
        <w:ind w:left="1276" w:hanging="1276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51160365" w14:textId="77777777" w:rsidR="0078487F" w:rsidRPr="004F30E1" w:rsidRDefault="0078487F" w:rsidP="0078487F"/>
    <w:p w14:paraId="634E5051" w14:textId="77777777" w:rsidR="0078487F" w:rsidRDefault="0078487F" w:rsidP="0078487F"/>
    <w:p w14:paraId="224B7B1E" w14:textId="77777777" w:rsidR="0078487F" w:rsidRDefault="0078487F" w:rsidP="0078487F"/>
    <w:p w14:paraId="548D1A93" w14:textId="4E6C0D6A" w:rsidR="0078487F" w:rsidRDefault="0078487F" w:rsidP="0078487F">
      <w:r w:rsidRPr="004F30E1">
        <w:t>Jaunzema 25418379</w:t>
      </w:r>
    </w:p>
    <w:p w14:paraId="44414DEC" w14:textId="77777777" w:rsidR="0078487F" w:rsidRPr="004F30E1" w:rsidRDefault="0078487F" w:rsidP="0078487F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E022F7">
      <w:headerReference w:type="first" r:id="rId8"/>
      <w:pgSz w:w="11906" w:h="16838" w:code="9"/>
      <w:pgMar w:top="892" w:right="1274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31E3" w14:textId="77777777" w:rsidR="00A5643F" w:rsidRDefault="00A5643F">
      <w:r>
        <w:separator/>
      </w:r>
    </w:p>
  </w:endnote>
  <w:endnote w:type="continuationSeparator" w:id="0">
    <w:p w14:paraId="4A7684E7" w14:textId="77777777" w:rsidR="00A5643F" w:rsidRDefault="00A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7846" w14:textId="77777777" w:rsidR="00A5643F" w:rsidRDefault="00A5643F">
      <w:r>
        <w:separator/>
      </w:r>
    </w:p>
  </w:footnote>
  <w:footnote w:type="continuationSeparator" w:id="0">
    <w:p w14:paraId="22104D88" w14:textId="77777777" w:rsidR="00A5643F" w:rsidRDefault="00A5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3" name="Picture 13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FE6D94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A12389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0"/>
  </w:num>
  <w:num w:numId="5">
    <w:abstractNumId w:val="18"/>
  </w:num>
  <w:num w:numId="6">
    <w:abstractNumId w:val="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17"/>
  </w:num>
  <w:num w:numId="15">
    <w:abstractNumId w:val="15"/>
  </w:num>
  <w:num w:numId="16">
    <w:abstractNumId w:val="8"/>
  </w:num>
  <w:num w:numId="17">
    <w:abstractNumId w:val="1"/>
  </w:num>
  <w:num w:numId="18">
    <w:abstractNumId w:val="4"/>
  </w:num>
  <w:num w:numId="19">
    <w:abstractNumId w:val="12"/>
  </w:num>
  <w:num w:numId="20">
    <w:abstractNumId w:val="2"/>
  </w:num>
  <w:num w:numId="21">
    <w:abstractNumId w:val="3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5AAA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487F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187E"/>
    <w:rsid w:val="008346C7"/>
    <w:rsid w:val="00851A40"/>
    <w:rsid w:val="00857463"/>
    <w:rsid w:val="00864322"/>
    <w:rsid w:val="00881E6E"/>
    <w:rsid w:val="008A0C7A"/>
    <w:rsid w:val="008A1AF6"/>
    <w:rsid w:val="008C5925"/>
    <w:rsid w:val="009060B3"/>
    <w:rsid w:val="009076B8"/>
    <w:rsid w:val="00926932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9F56CA"/>
    <w:rsid w:val="00A13BD3"/>
    <w:rsid w:val="00A156BB"/>
    <w:rsid w:val="00A44F10"/>
    <w:rsid w:val="00A5643F"/>
    <w:rsid w:val="00A80C67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101</cp:revision>
  <cp:lastPrinted>2024-11-28T13:41:00Z</cp:lastPrinted>
  <dcterms:created xsi:type="dcterms:W3CDTF">2022-01-12T11:05:00Z</dcterms:created>
  <dcterms:modified xsi:type="dcterms:W3CDTF">2024-11-28T13:42:00Z</dcterms:modified>
</cp:coreProperties>
</file>