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1A304683"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F91461">
        <w:rPr>
          <w:b/>
          <w:bCs/>
          <w:sz w:val="28"/>
          <w:szCs w:val="28"/>
        </w:rPr>
        <w:t>3</w:t>
      </w:r>
      <w:r w:rsidR="00A70E83">
        <w:rPr>
          <w:b/>
          <w:bCs/>
          <w:sz w:val="28"/>
          <w:szCs w:val="28"/>
        </w:rPr>
        <w:t>,0</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33D288E1"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F91461">
        <w:rPr>
          <w:b/>
        </w:rPr>
        <w:t>3</w:t>
      </w:r>
      <w:r w:rsidR="00A70E83">
        <w:rPr>
          <w:b/>
        </w:rPr>
        <w:t>,0</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D923BD5"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F91461">
        <w:t>900</w:t>
      </w:r>
      <w:r w:rsidR="00C075E7">
        <w:t>,00</w:t>
      </w:r>
      <w:r w:rsidR="004F0AFA" w:rsidRPr="004F0AFA">
        <w:t xml:space="preserve"> EUR (</w:t>
      </w:r>
      <w:r w:rsidR="00F91461">
        <w:t>deviņi simti</w:t>
      </w:r>
      <w:r w:rsidR="004F0AFA" w:rsidRPr="004F0AFA">
        <w:rPr>
          <w:i/>
          <w:iCs/>
        </w:rPr>
        <w:t xml:space="preserve"> euro</w:t>
      </w:r>
      <w:r w:rsidR="004F0AFA" w:rsidRPr="004F0AFA">
        <w:t>)</w:t>
      </w:r>
      <w:r w:rsidR="006862FB">
        <w:t>,</w:t>
      </w:r>
      <w:r w:rsidRPr="004F0AFA">
        <w:t xml:space="preserve"> t</w:t>
      </w:r>
      <w:r w:rsidRPr="006D407D">
        <w:t>.i.</w:t>
      </w:r>
      <w:r>
        <w:t xml:space="preserve"> </w:t>
      </w:r>
      <w:r w:rsidR="00F91461">
        <w:rPr>
          <w:b/>
          <w:bCs/>
        </w:rPr>
        <w:t>90</w:t>
      </w:r>
      <w:r w:rsidR="00F867BA">
        <w:rPr>
          <w:b/>
          <w:bCs/>
        </w:rPr>
        <w:t>,00</w:t>
      </w:r>
      <w:r w:rsidR="004F0AFA" w:rsidRPr="00C075E7">
        <w:rPr>
          <w:b/>
          <w:bCs/>
        </w:rPr>
        <w:t xml:space="preserve"> EUR</w:t>
      </w:r>
      <w:r w:rsidR="004F0AFA" w:rsidRPr="004F0AFA">
        <w:rPr>
          <w:b/>
          <w:bCs/>
        </w:rPr>
        <w:t xml:space="preserve"> (</w:t>
      </w:r>
      <w:r w:rsidR="00F91461">
        <w:rPr>
          <w:b/>
          <w:bCs/>
        </w:rPr>
        <w:t>deviņdesmit</w:t>
      </w:r>
      <w:r w:rsidR="0018392E">
        <w:rPr>
          <w:b/>
          <w:bCs/>
        </w:rPr>
        <w:t xml:space="preserve">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F91461">
        <w:t>3</w:t>
      </w:r>
      <w:r w:rsidR="00A70E83">
        <w:t>,0</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36D6642C" w:rsidR="00DC7D25" w:rsidRPr="00C540ED" w:rsidRDefault="00DC7D25" w:rsidP="00C540ED">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F91461">
        <w:rPr>
          <w:b/>
          <w:bCs/>
          <w:color w:val="000000" w:themeColor="text1"/>
        </w:rPr>
        <w:t>900</w:t>
      </w:r>
      <w:r w:rsidR="00C92F17">
        <w:rPr>
          <w:b/>
          <w:bCs/>
          <w:color w:val="000000" w:themeColor="text1"/>
        </w:rPr>
        <w:t>,00</w:t>
      </w:r>
      <w:r w:rsidRPr="00E448BA">
        <w:rPr>
          <w:b/>
          <w:bCs/>
          <w:color w:val="000000" w:themeColor="text1"/>
        </w:rPr>
        <w:t xml:space="preserve"> EUR (</w:t>
      </w:r>
      <w:r w:rsidR="00F91461">
        <w:rPr>
          <w:b/>
          <w:bCs/>
          <w:color w:val="000000" w:themeColor="text1"/>
        </w:rPr>
        <w:t>deviņi simti</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C540ED" w:rsidRPr="00C540ED">
        <w:rPr>
          <w:color w:val="000000" w:themeColor="text1"/>
        </w:rPr>
        <w:t xml:space="preserve"> bez pievienotās vērtības nodokļa (PVN). PVN tiek aprēķināts saskaņā ar Latvijas Republikas normatīvajos aktos noteikto likmi.</w:t>
      </w:r>
    </w:p>
    <w:p w14:paraId="25A3F1EE" w14:textId="0DBAC6C7"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F91461">
        <w:rPr>
          <w:b/>
          <w:bCs/>
          <w:color w:val="000000" w:themeColor="text1"/>
          <w:shd w:val="clear" w:color="auto" w:fill="FFFFFF" w:themeFill="background1"/>
        </w:rPr>
        <w:t>5</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00F91461" w:rsidRPr="00F91461">
        <w:rPr>
          <w:color w:val="000000" w:themeColor="text1"/>
          <w:shd w:val="clear" w:color="auto" w:fill="FFFFFF" w:themeFill="background1"/>
        </w:rPr>
        <w:t>(</w:t>
      </w:r>
      <w:r w:rsidR="00F91461" w:rsidRPr="00F91461">
        <w:rPr>
          <w:b/>
          <w:bCs/>
          <w:color w:val="000000" w:themeColor="text1"/>
          <w:shd w:val="clear" w:color="auto" w:fill="FFFFFF" w:themeFill="background1"/>
        </w:rPr>
        <w:t>piecdesmit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506F4F34"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1554DF">
        <w:rPr>
          <w:b/>
          <w:bCs/>
        </w:rPr>
        <w:t>27.oktobra</w:t>
      </w:r>
      <w:r w:rsidRPr="004C3615">
        <w:rPr>
          <w:b/>
          <w:bCs/>
        </w:rPr>
        <w:t xml:space="preserve"> pl.13.00 līdz 202</w:t>
      </w:r>
      <w:r w:rsidR="004F0AFA" w:rsidRPr="004C3615">
        <w:rPr>
          <w:b/>
          <w:bCs/>
        </w:rPr>
        <w:t>5</w:t>
      </w:r>
      <w:r w:rsidRPr="004C3615">
        <w:rPr>
          <w:b/>
          <w:bCs/>
        </w:rPr>
        <w:t xml:space="preserve">.gada  </w:t>
      </w:r>
      <w:r w:rsidR="001554DF">
        <w:rPr>
          <w:b/>
          <w:bCs/>
        </w:rPr>
        <w:t>6.novembrim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3C75BFB0"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1554DF">
        <w:rPr>
          <w:b/>
          <w:bCs/>
        </w:rPr>
        <w:t>27.oktobrī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1554DF">
        <w:rPr>
          <w:b/>
          <w:bCs/>
        </w:rPr>
        <w:t>19.novembrī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2E8B55FE"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69E4" w14:textId="77777777" w:rsidR="005F3706" w:rsidRDefault="005F3706" w:rsidP="00F73FA1">
      <w:r>
        <w:separator/>
      </w:r>
    </w:p>
  </w:endnote>
  <w:endnote w:type="continuationSeparator" w:id="0">
    <w:p w14:paraId="7E16876A" w14:textId="77777777" w:rsidR="005F3706" w:rsidRDefault="005F3706"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8917" w14:textId="77777777" w:rsidR="005F3706" w:rsidRDefault="005F3706" w:rsidP="00F73FA1">
      <w:r>
        <w:separator/>
      </w:r>
    </w:p>
  </w:footnote>
  <w:footnote w:type="continuationSeparator" w:id="0">
    <w:p w14:paraId="3F3B193B" w14:textId="77777777" w:rsidR="005F3706" w:rsidRDefault="005F3706"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A4C33"/>
    <w:rsid w:val="000B007E"/>
    <w:rsid w:val="000C3C41"/>
    <w:rsid w:val="000E5A2F"/>
    <w:rsid w:val="0010635C"/>
    <w:rsid w:val="00106DBE"/>
    <w:rsid w:val="001076A9"/>
    <w:rsid w:val="00111D57"/>
    <w:rsid w:val="0011383E"/>
    <w:rsid w:val="00120900"/>
    <w:rsid w:val="00123EA6"/>
    <w:rsid w:val="0013152B"/>
    <w:rsid w:val="001327A2"/>
    <w:rsid w:val="001466A8"/>
    <w:rsid w:val="001554DF"/>
    <w:rsid w:val="00161A6E"/>
    <w:rsid w:val="00162DBD"/>
    <w:rsid w:val="00162DD1"/>
    <w:rsid w:val="00172BBD"/>
    <w:rsid w:val="00173456"/>
    <w:rsid w:val="00173819"/>
    <w:rsid w:val="00180ECB"/>
    <w:rsid w:val="0018392E"/>
    <w:rsid w:val="00190C3C"/>
    <w:rsid w:val="001A0F51"/>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B7915"/>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C6E7C"/>
    <w:rsid w:val="005E3288"/>
    <w:rsid w:val="005E49B7"/>
    <w:rsid w:val="005E5070"/>
    <w:rsid w:val="005E7EDB"/>
    <w:rsid w:val="005F3706"/>
    <w:rsid w:val="006172DB"/>
    <w:rsid w:val="00623F36"/>
    <w:rsid w:val="00623FD7"/>
    <w:rsid w:val="00633987"/>
    <w:rsid w:val="0064042D"/>
    <w:rsid w:val="0064322B"/>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A7A3B"/>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B144D"/>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70E83"/>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40ED"/>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2644"/>
    <w:rsid w:val="00F73FA1"/>
    <w:rsid w:val="00F752E0"/>
    <w:rsid w:val="00F84B60"/>
    <w:rsid w:val="00F867BA"/>
    <w:rsid w:val="00F90FDF"/>
    <w:rsid w:val="00F91461"/>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8452</Words>
  <Characters>4819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19</cp:revision>
  <cp:lastPrinted>2015-08-28T06:31:00Z</cp:lastPrinted>
  <dcterms:created xsi:type="dcterms:W3CDTF">2025-09-25T10:01:00Z</dcterms:created>
  <dcterms:modified xsi:type="dcterms:W3CDTF">2025-10-22T05:21:00Z</dcterms:modified>
</cp:coreProperties>
</file>