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7541" w14:textId="4048EDAC" w:rsidR="004156DB" w:rsidRPr="00677314" w:rsidRDefault="004156DB" w:rsidP="004156DB">
      <w:pPr>
        <w:spacing w:after="160" w:line="259" w:lineRule="auto"/>
        <w:jc w:val="center"/>
        <w:rPr>
          <w:rFonts w:eastAsiaTheme="minorHAnsi"/>
          <w:b/>
          <w:bCs/>
          <w:kern w:val="2"/>
          <w:lang w:val="lv-LV"/>
          <w14:ligatures w14:val="standardContextual"/>
        </w:rPr>
      </w:pPr>
      <w:r w:rsidRPr="00677314">
        <w:rPr>
          <w:rFonts w:eastAsiaTheme="minorHAnsi"/>
          <w:b/>
          <w:bCs/>
          <w:kern w:val="2"/>
          <w:lang w:val="lv-LV"/>
          <w14:ligatures w14:val="standardContextual"/>
        </w:rPr>
        <w:t xml:space="preserve">Jelgavas novada </w:t>
      </w:r>
      <w:r w:rsidR="00792D9A">
        <w:rPr>
          <w:rFonts w:eastAsiaTheme="minorHAnsi"/>
          <w:b/>
          <w:bCs/>
          <w:kern w:val="2"/>
          <w:lang w:val="lv-LV"/>
          <w14:ligatures w14:val="standardContextual"/>
        </w:rPr>
        <w:t>pašvaldības</w:t>
      </w:r>
      <w:r w:rsidRPr="00677314">
        <w:rPr>
          <w:rFonts w:eastAsiaTheme="minorHAnsi"/>
          <w:b/>
          <w:bCs/>
          <w:kern w:val="2"/>
          <w:lang w:val="lv-LV"/>
          <w14:ligatures w14:val="standardContextual"/>
        </w:rPr>
        <w:t xml:space="preserve"> 2025.gada saistošo noteikumu Nr</w:t>
      </w:r>
      <w:r w:rsidR="00376994">
        <w:rPr>
          <w:rFonts w:eastAsiaTheme="minorHAnsi"/>
          <w:b/>
          <w:bCs/>
          <w:kern w:val="2"/>
          <w:lang w:val="lv-LV"/>
          <w14:ligatures w14:val="standardContextual"/>
        </w:rPr>
        <w:t>. _____ “</w:t>
      </w:r>
      <w:r w:rsidRPr="00677314">
        <w:rPr>
          <w:rFonts w:eastAsiaTheme="minorHAnsi"/>
          <w:b/>
          <w:bCs/>
          <w:kern w:val="2"/>
          <w:lang w:val="lv-LV"/>
          <w14:ligatures w14:val="standardContextual"/>
        </w:rPr>
        <w:t>Par Jelgavas novada pašvaldības atbalstu bāreņiem un bez vecāku gādības palikuš</w:t>
      </w:r>
      <w:r w:rsidR="009951F7">
        <w:rPr>
          <w:rFonts w:eastAsiaTheme="minorHAnsi"/>
          <w:b/>
          <w:bCs/>
          <w:kern w:val="2"/>
          <w:lang w:val="lv-LV"/>
          <w14:ligatures w14:val="standardContextual"/>
        </w:rPr>
        <w:t>aj</w:t>
      </w:r>
      <w:r w:rsidRPr="00677314">
        <w:rPr>
          <w:rFonts w:eastAsiaTheme="minorHAnsi"/>
          <w:b/>
          <w:bCs/>
          <w:kern w:val="2"/>
          <w:lang w:val="lv-LV"/>
          <w14:ligatures w14:val="standardContextual"/>
        </w:rPr>
        <w:t>iem bērniem</w:t>
      </w:r>
      <w:r w:rsidR="007F27A2">
        <w:rPr>
          <w:rFonts w:eastAsiaTheme="minorHAnsi"/>
          <w:b/>
          <w:bCs/>
          <w:kern w:val="2"/>
          <w:lang w:val="lv-LV"/>
          <w14:ligatures w14:val="standardContextual"/>
        </w:rPr>
        <w:t xml:space="preserve"> pēc pilngadības sasniegšanas</w:t>
      </w:r>
      <w:r w:rsidRPr="00677314">
        <w:rPr>
          <w:rFonts w:eastAsiaTheme="minorHAnsi"/>
          <w:b/>
          <w:bCs/>
          <w:kern w:val="2"/>
          <w:lang w:val="lv-LV"/>
          <w14:ligatures w14:val="standardContextual"/>
        </w:rPr>
        <w:t>” paskaidrojuma raksts</w:t>
      </w:r>
    </w:p>
    <w:tbl>
      <w:tblPr>
        <w:tblW w:w="4929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1"/>
        <w:gridCol w:w="6944"/>
      </w:tblGrid>
      <w:tr w:rsidR="004156DB" w:rsidRPr="00677314" w14:paraId="144EE6FB" w14:textId="77777777" w:rsidTr="00376994">
        <w:tc>
          <w:tcPr>
            <w:tcW w:w="12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95747F" w14:textId="519A64DB" w:rsidR="004156DB" w:rsidRPr="00677314" w:rsidRDefault="004156DB" w:rsidP="00376994">
            <w:pPr>
              <w:spacing w:after="160" w:line="259" w:lineRule="auto"/>
              <w:ind w:left="104" w:right="115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>1. Mērķis un nepieciešamības pamatojums</w:t>
            </w:r>
          </w:p>
        </w:tc>
        <w:tc>
          <w:tcPr>
            <w:tcW w:w="3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BDBFB0" w14:textId="2C2D494C" w:rsidR="00D864E8" w:rsidRDefault="00D864E8" w:rsidP="0005082F">
            <w:pPr>
              <w:spacing w:after="160" w:line="259" w:lineRule="auto"/>
              <w:ind w:right="108"/>
              <w:jc w:val="both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 w:rsidRPr="00D864E8">
              <w:rPr>
                <w:rFonts w:eastAsiaTheme="minorHAnsi"/>
                <w:kern w:val="2"/>
                <w:lang w:val="lv-LV"/>
                <w14:ligatures w14:val="standardContextual"/>
              </w:rPr>
              <w:t>Saistošie noteikumi “Par Jelgavas novada pašvaldības atbalstu bāreņiem un bez vecāku gādības palikušajiem bērniem pēc pilngadības sasniegšanas” (turpmāk – Saistošie noteikumi) izstrādāti ar mērķi noteikt no Jelgavas novada pašvaldības budžeta līdzekļiem finansējamo atbalsta veidu un apmēru bāreņiem un bez vecāku gādības palikušajiem bērniem (turpmāk – bārenis) Jelgavas novadā, kā arī atbalsta piešķiršanas un izmaksas kārtību.</w:t>
            </w:r>
          </w:p>
          <w:p w14:paraId="17A2ED67" w14:textId="5051B549" w:rsidR="004156DB" w:rsidRPr="00677314" w:rsidRDefault="004156DB" w:rsidP="0005082F">
            <w:pPr>
              <w:spacing w:after="160" w:line="259" w:lineRule="auto"/>
              <w:ind w:right="108"/>
              <w:jc w:val="both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>Pašvaldības pienākums ir nodrošināt sociālās garantijas pilngadību sasniegušiem bāreņiem un bez vecāku gādības palikuš</w:t>
            </w:r>
            <w:r w:rsidR="009951F7">
              <w:rPr>
                <w:rFonts w:eastAsiaTheme="minorHAnsi"/>
                <w:kern w:val="2"/>
                <w:lang w:val="lv-LV"/>
                <w14:ligatures w14:val="standardContextual"/>
              </w:rPr>
              <w:t>aj</w:t>
            </w:r>
            <w:r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iem bērniem līdz </w:t>
            </w:r>
            <w:r w:rsidR="00245416" w:rsidRPr="00245416">
              <w:rPr>
                <w:rFonts w:eastAsiaTheme="minorHAnsi"/>
                <w:kern w:val="2"/>
                <w:lang w:val="lv-LV"/>
                <w14:ligatures w14:val="standardContextual"/>
              </w:rPr>
              <w:t>pilngadības sasniegšanas</w:t>
            </w:r>
            <w:r w:rsidR="00D864E8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, </w:t>
            </w:r>
            <w:r w:rsidR="00245416">
              <w:rPr>
                <w:rFonts w:eastAsiaTheme="minorHAnsi"/>
                <w:kern w:val="2"/>
                <w:lang w:val="lv-LV"/>
                <w14:ligatures w14:val="standardContextual"/>
              </w:rPr>
              <w:t>atbilstoši</w:t>
            </w:r>
            <w:r w:rsidR="00D864E8" w:rsidRPr="00D864E8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Ministru kabineta 2005. gada 15. novembra noteikum</w:t>
            </w:r>
            <w:r w:rsidR="00245416">
              <w:rPr>
                <w:rFonts w:eastAsiaTheme="minorHAnsi"/>
                <w:kern w:val="2"/>
                <w:lang w:val="lv-LV"/>
                <w14:ligatures w14:val="standardContextual"/>
              </w:rPr>
              <w:t>iem</w:t>
            </w:r>
            <w:r w:rsidR="00D864E8" w:rsidRPr="00D864E8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Nr. 857 “Noteikumi par sociālajām garantijām bārenim un bez vecāku gādības palikušajam bērnam, kurš ir </w:t>
            </w:r>
            <w:proofErr w:type="spellStart"/>
            <w:r w:rsidR="00D864E8" w:rsidRPr="00D864E8">
              <w:rPr>
                <w:rFonts w:eastAsiaTheme="minorHAnsi"/>
                <w:kern w:val="2"/>
                <w:lang w:val="lv-LV"/>
                <w14:ligatures w14:val="standardContextual"/>
              </w:rPr>
              <w:t>ārpusģimenes</w:t>
            </w:r>
            <w:proofErr w:type="spellEnd"/>
            <w:r w:rsidR="00D864E8" w:rsidRPr="00D864E8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aprūpē, kā arī pēc </w:t>
            </w:r>
            <w:proofErr w:type="spellStart"/>
            <w:r w:rsidR="00D864E8" w:rsidRPr="00D864E8">
              <w:rPr>
                <w:rFonts w:eastAsiaTheme="minorHAnsi"/>
                <w:kern w:val="2"/>
                <w:lang w:val="lv-LV"/>
                <w14:ligatures w14:val="standardContextual"/>
              </w:rPr>
              <w:t>ārpusģimenes</w:t>
            </w:r>
            <w:proofErr w:type="spellEnd"/>
            <w:r w:rsidR="00D864E8" w:rsidRPr="00D864E8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aprūpes beigšanās” (turpmāk – MK noteikumi Nr. 857), kā arī likuma “Par palīdzību dzīvokļa jautājuma risināšanā” </w:t>
            </w:r>
            <w:r w:rsidR="00245416">
              <w:rPr>
                <w:rFonts w:eastAsiaTheme="minorHAnsi"/>
                <w:kern w:val="2"/>
                <w:lang w:val="lv-LV"/>
                <w14:ligatures w14:val="standardContextual"/>
              </w:rPr>
              <w:t>prasībām.</w:t>
            </w:r>
          </w:p>
          <w:p w14:paraId="607A43E9" w14:textId="5EC1FB6D" w:rsidR="004156DB" w:rsidRPr="00677314" w:rsidRDefault="00D864E8" w:rsidP="0005082F">
            <w:pPr>
              <w:spacing w:after="160" w:line="259" w:lineRule="auto"/>
              <w:ind w:right="108"/>
              <w:jc w:val="both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>
              <w:rPr>
                <w:rFonts w:eastAsiaTheme="minorHAnsi"/>
                <w:kern w:val="2"/>
                <w:lang w:val="lv-LV"/>
                <w14:ligatures w14:val="standardContextual"/>
              </w:rPr>
              <w:t>Pašreiz a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>tbalsta apmērs bāreņiem Jelgavas novada pašvaldībā tiek noteikts</w:t>
            </w:r>
            <w:r>
              <w:rPr>
                <w:rFonts w:eastAsiaTheme="minorHAnsi"/>
                <w:kern w:val="2"/>
                <w:lang w:val="lv-LV"/>
                <w14:ligatures w14:val="standardContextual"/>
              </w:rPr>
              <w:t>,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lang w:val="lv-LV"/>
                <w14:ligatures w14:val="standardContextual"/>
              </w:rPr>
              <w:t>pamatojoties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</w:t>
            </w:r>
            <w:r w:rsidR="00B809B3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uz 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>MK noteikumi Nr.857</w:t>
            </w:r>
            <w:r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un </w:t>
            </w:r>
            <w:r w:rsidR="004156DB" w:rsidRPr="0067731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lv-LV"/>
                <w14:ligatures w14:val="standardContextual"/>
              </w:rPr>
              <w:t xml:space="preserve"> 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>Jelgavas novada pašvaldības 2021. gada 27. oktobra saistoša</w:t>
            </w:r>
            <w:r>
              <w:rPr>
                <w:rFonts w:eastAsiaTheme="minorHAnsi"/>
                <w:kern w:val="2"/>
                <w:lang w:val="lv-LV"/>
                <w14:ligatures w14:val="standardContextual"/>
              </w:rPr>
              <w:t>jiem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noteikum</w:t>
            </w:r>
            <w:r>
              <w:rPr>
                <w:rFonts w:eastAsiaTheme="minorHAnsi"/>
                <w:kern w:val="2"/>
                <w:lang w:val="lv-LV"/>
                <w14:ligatures w14:val="standardContextual"/>
              </w:rPr>
              <w:t>iem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Nr.13 ,,Par pašvaldības sociālajām garantijām bārenim un bez vecāku gādības palikušam bērnam pēc pilngadības sasniegšanas"</w:t>
            </w:r>
            <w:r>
              <w:t xml:space="preserve"> </w:t>
            </w:r>
            <w:r w:rsidRPr="00D864E8">
              <w:rPr>
                <w:rFonts w:eastAsiaTheme="minorHAnsi"/>
                <w:kern w:val="2"/>
                <w:lang w:val="lv-LV"/>
                <w14:ligatures w14:val="standardContextual"/>
              </w:rPr>
              <w:t>(turpmāk – Saistošie noteikumi Nr. 13)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. </w:t>
            </w:r>
          </w:p>
          <w:p w14:paraId="4D8C2406" w14:textId="6F98E873" w:rsidR="004156DB" w:rsidRPr="00677314" w:rsidRDefault="00D864E8" w:rsidP="0005082F">
            <w:pPr>
              <w:spacing w:after="160" w:line="259" w:lineRule="auto"/>
              <w:ind w:right="108"/>
              <w:jc w:val="both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Ņemot vērā, ka ar 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>2023.gada 27.jūnij</w:t>
            </w:r>
            <w:r>
              <w:rPr>
                <w:rFonts w:eastAsiaTheme="minorHAnsi"/>
                <w:kern w:val="2"/>
                <w:lang w:val="lv-LV"/>
                <w14:ligatures w14:val="standardContextual"/>
              </w:rPr>
              <w:t>a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un 2024.gada 30.aprī</w:t>
            </w:r>
            <w:r w:rsidR="00245416">
              <w:rPr>
                <w:rFonts w:eastAsiaTheme="minorHAnsi"/>
                <w:kern w:val="2"/>
                <w:lang w:val="lv-LV"/>
                <w14:ligatures w14:val="standardContextual"/>
              </w:rPr>
              <w:t>ļ</w:t>
            </w:r>
            <w:r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a grozījumiem 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MK noteikumos Nr.857 </w:t>
            </w:r>
            <w:r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ir 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>būtiski</w:t>
            </w:r>
            <w:r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>palielin</w:t>
            </w:r>
            <w:r>
              <w:rPr>
                <w:rFonts w:eastAsiaTheme="minorHAnsi"/>
                <w:kern w:val="2"/>
                <w:lang w:val="lv-LV"/>
                <w14:ligatures w14:val="standardContextual"/>
              </w:rPr>
              <w:t>āts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snie</w:t>
            </w:r>
            <w:r>
              <w:rPr>
                <w:rFonts w:eastAsiaTheme="minorHAnsi"/>
                <w:kern w:val="2"/>
                <w:lang w:val="lv-LV"/>
                <w14:ligatures w14:val="standardContextual"/>
              </w:rPr>
              <w:t>dzamā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atbalsta </w:t>
            </w:r>
            <w:r>
              <w:rPr>
                <w:rFonts w:eastAsiaTheme="minorHAnsi"/>
                <w:kern w:val="2"/>
                <w:lang w:val="lv-LV"/>
                <w14:ligatures w14:val="standardContextual"/>
              </w:rPr>
              <w:t>apjoms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un pabalstu apmēr</w:t>
            </w:r>
            <w:r>
              <w:rPr>
                <w:rFonts w:eastAsiaTheme="minorHAnsi"/>
                <w:kern w:val="2"/>
                <w:lang w:val="lv-LV"/>
                <w14:ligatures w14:val="standardContextual"/>
              </w:rPr>
              <w:t>s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bērniem bāreņiem</w:t>
            </w:r>
            <w:r>
              <w:rPr>
                <w:rFonts w:eastAsiaTheme="minorHAnsi"/>
                <w:kern w:val="2"/>
                <w:lang w:val="lv-LV"/>
                <w14:ligatures w14:val="standardContextual"/>
              </w:rPr>
              <w:t>, S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>aistošie noteikumi Nr.13 vairs n</w:t>
            </w:r>
            <w:r>
              <w:rPr>
                <w:rFonts w:eastAsiaTheme="minorHAnsi"/>
                <w:kern w:val="2"/>
                <w:lang w:val="lv-LV"/>
                <w14:ligatures w14:val="standardContextual"/>
              </w:rPr>
              <w:t>e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>atbilst</w:t>
            </w:r>
            <w:r w:rsidR="00B07B96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spēkā esošajam normatīvajam regulējumam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un nevar </w:t>
            </w:r>
            <w:r w:rsidR="00B07B96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tikt piemēroti bāreņu un bez vecāku gādības palikušo bērnu </w:t>
            </w:r>
            <w:r w:rsidR="00B07B96" w:rsidRPr="00B07B96">
              <w:rPr>
                <w:rFonts w:eastAsiaTheme="minorHAnsi"/>
                <w:kern w:val="2"/>
                <w:lang w:val="lv-LV"/>
                <w14:ligatures w14:val="standardContextual"/>
              </w:rPr>
              <w:t>sociālo garantiju nodrošināšanai pēc pilngadības sasniegšanas.</w:t>
            </w:r>
            <w:r w:rsidR="00B07B96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Līdz ar to i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r nepieciešams izstrādāt jaunus Jelgavas novada </w:t>
            </w:r>
            <w:r w:rsidR="00B07B96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pašvaldības 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>saistošo</w:t>
            </w:r>
            <w:r w:rsidR="00B07B96">
              <w:rPr>
                <w:rFonts w:eastAsiaTheme="minorHAnsi"/>
                <w:kern w:val="2"/>
                <w:lang w:val="lv-LV"/>
                <w14:ligatures w14:val="standardContextual"/>
              </w:rPr>
              <w:t>s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noteikumus</w:t>
            </w:r>
            <w:r w:rsidR="008449D6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“</w:t>
            </w:r>
            <w:r w:rsidR="008449D6" w:rsidRPr="008449D6">
              <w:rPr>
                <w:rFonts w:eastAsiaTheme="minorHAnsi"/>
                <w:kern w:val="2"/>
                <w:lang w:val="lv-LV"/>
                <w14:ligatures w14:val="standardContextual"/>
              </w:rPr>
              <w:t>Par Jelgavas novada pašvaldības atbalstu bāreņiem un bez vecāku gādības palikušiem bērniem pēc pilngadības sasniegšanas</w:t>
            </w:r>
            <w:r w:rsidR="008449D6">
              <w:rPr>
                <w:rFonts w:eastAsiaTheme="minorHAnsi"/>
                <w:kern w:val="2"/>
                <w:lang w:val="lv-LV"/>
                <w14:ligatures w14:val="standardContextual"/>
              </w:rPr>
              <w:t>”</w:t>
            </w:r>
            <w:r w:rsidR="00245416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, </w:t>
            </w:r>
            <w:r w:rsidR="00245416" w:rsidRPr="00245416">
              <w:rPr>
                <w:rFonts w:eastAsiaTheme="minorHAnsi"/>
                <w:kern w:val="2"/>
                <w:lang w:val="lv-LV"/>
                <w14:ligatures w14:val="standardContextual"/>
              </w:rPr>
              <w:t>kuros paredzēti atjaunināti atbalsta veidi, apmēri un piešķiršanas kārtība, atbilstoši spēkā esošajam normatīvajam regulējumam.</w:t>
            </w:r>
          </w:p>
        </w:tc>
      </w:tr>
      <w:tr w:rsidR="004156DB" w:rsidRPr="00677314" w14:paraId="48948E8B" w14:textId="77777777" w:rsidTr="00376994">
        <w:tc>
          <w:tcPr>
            <w:tcW w:w="12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FFD4C5" w14:textId="77777777" w:rsidR="004156DB" w:rsidRPr="00941147" w:rsidRDefault="004156DB" w:rsidP="00376994">
            <w:pPr>
              <w:spacing w:after="160" w:line="259" w:lineRule="auto"/>
              <w:ind w:left="104" w:right="115"/>
              <w:rPr>
                <w:rFonts w:eastAsiaTheme="minorHAnsi"/>
                <w:kern w:val="2"/>
                <w:highlight w:val="yellow"/>
                <w:lang w:val="lv-LV"/>
                <w14:ligatures w14:val="standardContextual"/>
              </w:rPr>
            </w:pPr>
            <w:r w:rsidRPr="0005650C">
              <w:rPr>
                <w:rFonts w:eastAsiaTheme="minorHAnsi"/>
                <w:kern w:val="2"/>
                <w:lang w:val="lv-LV"/>
                <w14:ligatures w14:val="standardContextual"/>
              </w:rPr>
              <w:t>2. Fiskālā ietekme uz pašvaldības budžetu</w:t>
            </w:r>
          </w:p>
        </w:tc>
        <w:tc>
          <w:tcPr>
            <w:tcW w:w="3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B6C8A1" w14:textId="4C58C2B9" w:rsidR="00D57E25" w:rsidRDefault="00C557C5" w:rsidP="0005082F">
            <w:pPr>
              <w:spacing w:after="160" w:line="259" w:lineRule="auto"/>
              <w:ind w:right="108"/>
              <w:jc w:val="both"/>
              <w:rPr>
                <w:rFonts w:eastAsiaTheme="minorHAnsi"/>
                <w:i/>
                <w:iCs/>
                <w:kern w:val="2"/>
                <w:lang w:val="lv-LV"/>
                <w14:ligatures w14:val="standardContextual"/>
              </w:rPr>
            </w:pPr>
            <w:r w:rsidRPr="00C557C5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Plānotā fiskālā ietekme uz Jelgavas novada pašvaldības budžetu </w:t>
            </w:r>
            <w:r w:rsidR="0055270B">
              <w:rPr>
                <w:rFonts w:eastAsiaTheme="minorHAnsi"/>
                <w:kern w:val="2"/>
                <w:lang w:val="lv-LV"/>
                <w14:ligatures w14:val="standardContextual"/>
              </w:rPr>
              <w:t>paredz</w:t>
            </w:r>
            <w:r w:rsidRPr="00C557C5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izdevumu palielinājum</w:t>
            </w:r>
            <w:r w:rsidR="0055270B">
              <w:rPr>
                <w:rFonts w:eastAsiaTheme="minorHAnsi"/>
                <w:kern w:val="2"/>
                <w:lang w:val="lv-LV"/>
                <w14:ligatures w14:val="standardContextual"/>
              </w:rPr>
              <w:t>u</w:t>
            </w:r>
            <w:r w:rsidRPr="00C557C5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par 8 500 </w:t>
            </w:r>
            <w:r w:rsidRPr="0055270B">
              <w:rPr>
                <w:rFonts w:eastAsiaTheme="minorHAnsi"/>
                <w:i/>
                <w:iCs/>
                <w:kern w:val="2"/>
                <w:lang w:val="lv-LV"/>
                <w14:ligatures w14:val="standardContextual"/>
              </w:rPr>
              <w:t>euro</w:t>
            </w:r>
            <w:r w:rsidRPr="00C557C5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gadā.</w:t>
            </w:r>
          </w:p>
          <w:p w14:paraId="09B38F7E" w14:textId="1B8B5ACA" w:rsidR="004156DB" w:rsidRPr="00677314" w:rsidRDefault="00C557C5" w:rsidP="0005082F">
            <w:pPr>
              <w:spacing w:after="160" w:line="259" w:lineRule="auto"/>
              <w:ind w:right="108"/>
              <w:jc w:val="both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 w:rsidRPr="00C557C5">
              <w:rPr>
                <w:rFonts w:eastAsiaTheme="minorHAnsi"/>
                <w:kern w:val="2"/>
                <w:lang w:val="lv-LV"/>
                <w14:ligatures w14:val="standardContextual"/>
              </w:rPr>
              <w:t>Saistošo noteikumu īstenošanai nav ietekmes uz citām pašvaldības budžeta ieņēmumu vai izdevumu pozīcijām.</w:t>
            </w:r>
          </w:p>
        </w:tc>
      </w:tr>
      <w:tr w:rsidR="004156DB" w:rsidRPr="00677314" w14:paraId="792FF5F1" w14:textId="77777777" w:rsidTr="00376994">
        <w:tc>
          <w:tcPr>
            <w:tcW w:w="12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2D4610" w14:textId="77777777" w:rsidR="004156DB" w:rsidRPr="00677314" w:rsidRDefault="004156DB" w:rsidP="00376994">
            <w:pPr>
              <w:spacing w:after="160" w:line="259" w:lineRule="auto"/>
              <w:ind w:left="104" w:right="115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3. Sociālā ietekme, ietekme uz vidi, iedzīvotāju veselību, </w:t>
            </w:r>
            <w:r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lastRenderedPageBreak/>
              <w:t>uzņēmējdarbības vidi pašvaldības teritorijā, kā arī plānotā regulējuma ietekme uz konkurenci</w:t>
            </w:r>
          </w:p>
        </w:tc>
        <w:tc>
          <w:tcPr>
            <w:tcW w:w="3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F56217" w14:textId="77777777" w:rsidR="00C557C5" w:rsidRPr="00C557C5" w:rsidRDefault="00C557C5" w:rsidP="0005082F">
            <w:pPr>
              <w:spacing w:after="160" w:line="259" w:lineRule="auto"/>
              <w:ind w:right="108"/>
              <w:jc w:val="both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 w:rsidRPr="00C557C5">
              <w:rPr>
                <w:rFonts w:eastAsiaTheme="minorHAnsi"/>
                <w:kern w:val="2"/>
                <w:lang w:val="lv-LV"/>
                <w14:ligatures w14:val="standardContextual"/>
              </w:rPr>
              <w:lastRenderedPageBreak/>
              <w:t xml:space="preserve">Saistošajos noteikumos paredzētais pašvaldības materiālais un praktiskais atbalsts sekmēs bāreņu un bez vecāku gādības palikušo </w:t>
            </w:r>
            <w:r w:rsidRPr="00C557C5">
              <w:rPr>
                <w:rFonts w:eastAsiaTheme="minorHAnsi"/>
                <w:kern w:val="2"/>
                <w:lang w:val="lv-LV"/>
                <w14:ligatures w14:val="standardContextual"/>
              </w:rPr>
              <w:lastRenderedPageBreak/>
              <w:t xml:space="preserve">jauniešu sociālo integrāciju, patstāvīgas dzīves uzsākšanu un sociālo drošību pēc </w:t>
            </w:r>
            <w:proofErr w:type="spellStart"/>
            <w:r w:rsidRPr="00C557C5">
              <w:rPr>
                <w:rFonts w:eastAsiaTheme="minorHAnsi"/>
                <w:kern w:val="2"/>
                <w:lang w:val="lv-LV"/>
                <w14:ligatures w14:val="standardContextual"/>
              </w:rPr>
              <w:t>ārpusģimenes</w:t>
            </w:r>
            <w:proofErr w:type="spellEnd"/>
            <w:r w:rsidRPr="00C557C5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aprūpes beigšanās.</w:t>
            </w:r>
          </w:p>
          <w:p w14:paraId="7E612D7F" w14:textId="08027369" w:rsidR="00C557C5" w:rsidRPr="00C557C5" w:rsidRDefault="00C557C5" w:rsidP="0005082F">
            <w:pPr>
              <w:spacing w:after="160" w:line="259" w:lineRule="auto"/>
              <w:ind w:right="108"/>
              <w:jc w:val="both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>
              <w:rPr>
                <w:rFonts w:eastAsiaTheme="minorHAnsi"/>
                <w:kern w:val="2"/>
                <w:lang w:val="lv-LV"/>
                <w14:ligatures w14:val="standardContextual"/>
              </w:rPr>
              <w:t>Saistošo n</w:t>
            </w:r>
            <w:r w:rsidRPr="00C557C5">
              <w:rPr>
                <w:rFonts w:eastAsiaTheme="minorHAnsi"/>
                <w:kern w:val="2"/>
                <w:lang w:val="lv-LV"/>
                <w14:ligatures w14:val="standardContextual"/>
              </w:rPr>
              <w:t>oteikumu īstenošana uzlabos šo personu labklājību un pašaprūpes spējas, veicinot viņu veiksmīgu iesaisti sabiedrībā.</w:t>
            </w:r>
          </w:p>
          <w:p w14:paraId="2D5035E2" w14:textId="56679DD3" w:rsidR="004156DB" w:rsidRPr="00677314" w:rsidRDefault="00C557C5" w:rsidP="0005082F">
            <w:pPr>
              <w:spacing w:after="160" w:line="259" w:lineRule="auto"/>
              <w:ind w:right="108"/>
              <w:jc w:val="both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 w:rsidRPr="00C557C5">
              <w:rPr>
                <w:rFonts w:eastAsiaTheme="minorHAnsi"/>
                <w:kern w:val="2"/>
                <w:lang w:val="lv-LV"/>
                <w14:ligatures w14:val="standardContextual"/>
              </w:rPr>
              <w:t>Saistošo noteikumu pieņemšana neietekmēs uzņēmējdarbības vidi, konkurenci, iedzīvotāju veselību vai vidi Jelgavas novada administratīvajā teritorijā</w:t>
            </w:r>
            <w:r>
              <w:rPr>
                <w:rFonts w:eastAsiaTheme="minorHAnsi"/>
                <w:kern w:val="2"/>
                <w:lang w:val="lv-LV"/>
                <w14:ligatures w14:val="standardContextual"/>
              </w:rPr>
              <w:t>.</w:t>
            </w:r>
          </w:p>
        </w:tc>
      </w:tr>
      <w:tr w:rsidR="004156DB" w:rsidRPr="00677314" w14:paraId="5FB2AF79" w14:textId="77777777" w:rsidTr="00376994">
        <w:tc>
          <w:tcPr>
            <w:tcW w:w="12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FB0C65" w14:textId="77777777" w:rsidR="004156DB" w:rsidRPr="00677314" w:rsidRDefault="004156DB" w:rsidP="00376994">
            <w:pPr>
              <w:spacing w:after="160" w:line="259" w:lineRule="auto"/>
              <w:ind w:left="104" w:right="115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lastRenderedPageBreak/>
              <w:t>4. Ietekme uz administratīvajām procedūrām un to izmaksām</w:t>
            </w:r>
          </w:p>
        </w:tc>
        <w:tc>
          <w:tcPr>
            <w:tcW w:w="3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4E7BF9" w14:textId="77777777" w:rsidR="00C557C5" w:rsidRPr="00C557C5" w:rsidRDefault="00C557C5" w:rsidP="0005082F">
            <w:pPr>
              <w:spacing w:after="160" w:line="259" w:lineRule="auto"/>
              <w:ind w:right="108"/>
              <w:jc w:val="both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 w:rsidRPr="00C557C5">
              <w:rPr>
                <w:rFonts w:eastAsiaTheme="minorHAnsi"/>
                <w:kern w:val="2"/>
                <w:lang w:val="lv-LV"/>
                <w14:ligatures w14:val="standardContextual"/>
              </w:rPr>
              <w:t>Saistošo noteikumu īstenošana neradīs papildu izmaksas, kas saistītas ar paredzēto pabalstu administrēšanu, jo šo funkciju nodrošinās esošā institucionālā struktūra.</w:t>
            </w:r>
          </w:p>
          <w:p w14:paraId="255597F1" w14:textId="26BC1F4E" w:rsidR="004156DB" w:rsidRPr="00677314" w:rsidRDefault="00C557C5" w:rsidP="0005082F">
            <w:pPr>
              <w:spacing w:after="160" w:line="259" w:lineRule="auto"/>
              <w:ind w:right="108"/>
              <w:jc w:val="both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 w:rsidRPr="00C557C5">
              <w:rPr>
                <w:rFonts w:eastAsiaTheme="minorHAnsi"/>
                <w:kern w:val="2"/>
                <w:lang w:val="lv-LV"/>
                <w14:ligatures w14:val="standardContextual"/>
              </w:rPr>
              <w:t>Saistošo noteikumu izpildi nodrošinās Jelgavas novada Sociālais dienests, izmantojot esošos cilvēkresursus un administratīvos resursus.</w:t>
            </w:r>
          </w:p>
        </w:tc>
      </w:tr>
      <w:tr w:rsidR="00892E31" w:rsidRPr="00677314" w14:paraId="681CB560" w14:textId="77777777" w:rsidTr="00376994">
        <w:tc>
          <w:tcPr>
            <w:tcW w:w="12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B69DFC" w14:textId="55F7F206" w:rsidR="00892E31" w:rsidRPr="00677314" w:rsidRDefault="00892E31" w:rsidP="00376994">
            <w:pPr>
              <w:spacing w:after="160" w:line="259" w:lineRule="auto"/>
              <w:ind w:left="104" w:right="115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>
              <w:rPr>
                <w:rFonts w:eastAsiaTheme="minorHAnsi"/>
                <w:kern w:val="2"/>
                <w:lang w:val="lv-LV"/>
                <w14:ligatures w14:val="standardContextual"/>
              </w:rPr>
              <w:t>5.Ietekme uz pašvaldības funkcijām un cilvēkresursiem</w:t>
            </w:r>
          </w:p>
        </w:tc>
        <w:tc>
          <w:tcPr>
            <w:tcW w:w="3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44133B" w14:textId="77777777" w:rsidR="009A2F62" w:rsidRPr="009A2F62" w:rsidRDefault="009A2F62" w:rsidP="0005082F">
            <w:pPr>
              <w:spacing w:after="160" w:line="259" w:lineRule="auto"/>
              <w:ind w:right="108"/>
              <w:jc w:val="both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 w:rsidRPr="009A2F62">
              <w:rPr>
                <w:rFonts w:eastAsiaTheme="minorHAnsi"/>
                <w:kern w:val="2"/>
                <w:lang w:val="lv-LV"/>
                <w14:ligatures w14:val="standardContextual"/>
              </w:rPr>
              <w:t>Saistošie noteikumi izstrādāti atbilstoši pašvaldības autonomajām funkcijām, kas noteiktas Pašvaldību likumā – nodrošināt sociālo palīdzību un pakalpojumus iedzīvotājiem.</w:t>
            </w:r>
          </w:p>
          <w:p w14:paraId="2CD7A68A" w14:textId="435A0390" w:rsidR="00C97161" w:rsidRPr="00677314" w:rsidRDefault="009A2F62" w:rsidP="0005082F">
            <w:pPr>
              <w:spacing w:after="160" w:line="259" w:lineRule="auto"/>
              <w:ind w:right="108"/>
              <w:jc w:val="both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 w:rsidRPr="009A2F62">
              <w:rPr>
                <w:rFonts w:eastAsiaTheme="minorHAnsi"/>
                <w:kern w:val="2"/>
                <w:lang w:val="lv-LV"/>
                <w14:ligatures w14:val="standardContextual"/>
              </w:rPr>
              <w:t>Pašvaldības esošie cilvēkresursi ir pietiekami Saistošo noteikumu īstenošanai, un nav nepieciešama jaunu institūciju vai amatu izveide.</w:t>
            </w:r>
          </w:p>
        </w:tc>
      </w:tr>
      <w:tr w:rsidR="004156DB" w:rsidRPr="00BA5A29" w14:paraId="01B04464" w14:textId="77777777" w:rsidTr="00376994">
        <w:tc>
          <w:tcPr>
            <w:tcW w:w="12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029444" w14:textId="17DBD62B" w:rsidR="004156DB" w:rsidRPr="00677314" w:rsidRDefault="00C97161" w:rsidP="00376994">
            <w:pPr>
              <w:spacing w:after="160" w:line="259" w:lineRule="auto"/>
              <w:ind w:left="104" w:right="115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>
              <w:rPr>
                <w:rFonts w:eastAsiaTheme="minorHAnsi"/>
                <w:kern w:val="2"/>
                <w:lang w:val="lv-LV"/>
                <w14:ligatures w14:val="standardContextual"/>
              </w:rPr>
              <w:t>6</w:t>
            </w:r>
            <w:r w:rsidR="004156DB"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>. Informācija par izpildes nodrošināšanu</w:t>
            </w:r>
          </w:p>
        </w:tc>
        <w:tc>
          <w:tcPr>
            <w:tcW w:w="3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FED057" w14:textId="6F47829A" w:rsidR="004156DB" w:rsidRPr="00677314" w:rsidRDefault="004156DB" w:rsidP="0005082F">
            <w:pPr>
              <w:spacing w:after="160" w:line="259" w:lineRule="auto"/>
              <w:ind w:right="108"/>
              <w:jc w:val="both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 w:rsidRPr="00677314">
              <w:rPr>
                <w:rFonts w:eastAsiaTheme="minorHAnsi"/>
                <w:kern w:val="2"/>
                <w:lang w:val="lv-LV"/>
                <w14:ligatures w14:val="standardContextual"/>
              </w:rPr>
              <w:t>Saistošo noteikumu izpildi īstenos Jelgavas novada Sociālais dienests</w:t>
            </w:r>
            <w:r w:rsidR="009A2F62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, kas </w:t>
            </w:r>
            <w:r w:rsidR="009A2F62" w:rsidRPr="009A2F62">
              <w:rPr>
                <w:rFonts w:eastAsiaTheme="minorHAnsi"/>
                <w:kern w:val="2"/>
                <w:lang w:val="lv-LV"/>
                <w14:ligatures w14:val="standardContextual"/>
              </w:rPr>
              <w:t>organizēs iesniegumu pieņemšanu, izvērtēšanu un lēmumu pieņemšanu par pabalstu piešķiršanu.</w:t>
            </w:r>
          </w:p>
          <w:p w14:paraId="008B7911" w14:textId="256A3F3D" w:rsidR="004156DB" w:rsidRPr="00677314" w:rsidRDefault="009A2F62" w:rsidP="0005082F">
            <w:pPr>
              <w:spacing w:after="160" w:line="259" w:lineRule="auto"/>
              <w:ind w:right="108"/>
              <w:jc w:val="both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Savukārt pabalstu izmaksu atbilstoši  Jelgavas novada Sociālā dienesta lēmumiem veikts </w:t>
            </w:r>
            <w:r w:rsidRPr="009A2F62">
              <w:rPr>
                <w:rFonts w:eastAsiaTheme="minorHAnsi"/>
                <w:kern w:val="2"/>
                <w:lang w:val="lv-LV"/>
                <w14:ligatures w14:val="standardContextual"/>
              </w:rPr>
              <w:t>Jelgavas novada pašvaldības Centrālās administrācijas Administratīvā departamenta Finanšu nodaļa</w:t>
            </w:r>
            <w:r>
              <w:rPr>
                <w:rFonts w:eastAsiaTheme="minorHAnsi"/>
                <w:kern w:val="2"/>
                <w:lang w:val="lv-LV"/>
                <w14:ligatures w14:val="standardContextual"/>
              </w:rPr>
              <w:t>.</w:t>
            </w:r>
          </w:p>
        </w:tc>
      </w:tr>
      <w:tr w:rsidR="004156DB" w:rsidRPr="00BA5A29" w14:paraId="77B8AA9F" w14:textId="77777777" w:rsidTr="00376994">
        <w:tc>
          <w:tcPr>
            <w:tcW w:w="12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3C612E" w14:textId="470525B6" w:rsidR="004156DB" w:rsidRPr="00677314" w:rsidRDefault="00960012" w:rsidP="00376994">
            <w:pPr>
              <w:spacing w:after="160" w:line="259" w:lineRule="auto"/>
              <w:ind w:left="104" w:right="115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7.Prasību </w:t>
            </w:r>
            <w:r w:rsidR="00892E31">
              <w:rPr>
                <w:rFonts w:eastAsiaTheme="minorHAnsi"/>
                <w:kern w:val="2"/>
                <w:lang w:val="lv-LV"/>
                <w14:ligatures w14:val="standardContextual"/>
              </w:rPr>
              <w:t>un izmaksu samērīgums pret ieguvumiem, ko sniedz mērķa sasniegšana</w:t>
            </w:r>
          </w:p>
        </w:tc>
        <w:tc>
          <w:tcPr>
            <w:tcW w:w="3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B60483D" w14:textId="77777777" w:rsidR="009A2F62" w:rsidRPr="009A2F62" w:rsidRDefault="009A2F62" w:rsidP="0005082F">
            <w:pPr>
              <w:spacing w:after="160" w:line="259" w:lineRule="auto"/>
              <w:ind w:right="108"/>
              <w:jc w:val="both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 w:rsidRPr="009A2F62">
              <w:rPr>
                <w:rFonts w:eastAsiaTheme="minorHAnsi"/>
                <w:kern w:val="2"/>
                <w:lang w:val="lv-LV"/>
                <w14:ligatures w14:val="standardContextual"/>
              </w:rPr>
              <w:t>Saistošie noteikumi ir samērīgi un pamatoti, tie nodrošina Jelgavas novada pašvaldības iespējas izpildīt normatīvajos aktos noteiktās saistības attiecībā uz bāreņu sociālajām garantijām.</w:t>
            </w:r>
          </w:p>
          <w:p w14:paraId="41691789" w14:textId="5E54D32E" w:rsidR="004156DB" w:rsidRPr="00677314" w:rsidRDefault="0055270B" w:rsidP="0005082F">
            <w:pPr>
              <w:spacing w:after="160" w:line="259" w:lineRule="auto"/>
              <w:ind w:right="108"/>
              <w:jc w:val="both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>
              <w:rPr>
                <w:rFonts w:eastAsiaTheme="minorHAnsi"/>
                <w:kern w:val="2"/>
                <w:lang w:val="lv-LV"/>
                <w14:ligatures w14:val="standardContextual"/>
              </w:rPr>
              <w:t>Saistošajos n</w:t>
            </w:r>
            <w:r w:rsidR="009A2F62" w:rsidRPr="009A2F62">
              <w:rPr>
                <w:rFonts w:eastAsiaTheme="minorHAnsi"/>
                <w:kern w:val="2"/>
                <w:lang w:val="lv-LV"/>
                <w14:ligatures w14:val="standardContextual"/>
              </w:rPr>
              <w:t>oteikumos paredzētais atbalsts ir atbilstošs ieguvumiem, ko sniedz mērķa sasniegšana — bāreņu sociālā drošība, labklājība un veiksmīga integrācija sabiedrībā.</w:t>
            </w:r>
          </w:p>
        </w:tc>
      </w:tr>
      <w:tr w:rsidR="00960012" w:rsidRPr="00BA5A29" w14:paraId="602C1D91" w14:textId="77777777" w:rsidTr="00376994">
        <w:tc>
          <w:tcPr>
            <w:tcW w:w="12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69F669" w14:textId="276624D2" w:rsidR="00960012" w:rsidRPr="00677314" w:rsidRDefault="00960012" w:rsidP="00376994">
            <w:pPr>
              <w:spacing w:after="160" w:line="259" w:lineRule="auto"/>
              <w:ind w:left="104" w:right="115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 w:rsidRPr="00BA5A29">
              <w:rPr>
                <w:rFonts w:eastAsiaTheme="minorHAnsi"/>
                <w:kern w:val="2"/>
                <w:lang w:val="lv-LV"/>
                <w14:ligatures w14:val="standardContextual"/>
              </w:rPr>
              <w:t>8. Izstrādes gaitā veiktās konsultācijas ar privātpersonām</w:t>
            </w:r>
            <w:r w:rsidR="001B6708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</w:t>
            </w:r>
            <w:r w:rsidR="00DD28BB" w:rsidRPr="00BA5A29">
              <w:rPr>
                <w:rFonts w:eastAsiaTheme="minorHAnsi"/>
                <w:kern w:val="2"/>
                <w:lang w:val="lv-LV"/>
                <w14:ligatures w14:val="standardContextual"/>
              </w:rPr>
              <w:t>un institūcijām</w:t>
            </w:r>
          </w:p>
        </w:tc>
        <w:tc>
          <w:tcPr>
            <w:tcW w:w="37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B1F05BE" w14:textId="059BA679" w:rsidR="00960012" w:rsidRPr="00677314" w:rsidRDefault="00DD28BB" w:rsidP="0005082F">
            <w:pPr>
              <w:spacing w:after="160" w:line="259" w:lineRule="auto"/>
              <w:ind w:right="108"/>
              <w:jc w:val="both"/>
              <w:rPr>
                <w:rFonts w:eastAsiaTheme="minorHAnsi"/>
                <w:kern w:val="2"/>
                <w:lang w:val="lv-LV"/>
                <w14:ligatures w14:val="standardContextual"/>
              </w:rPr>
            </w:pPr>
            <w:r w:rsidRPr="00BA5A29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Atbilstoši Pašvaldību likuma 46.panta trešajai daļai saistošo noteikumu projekts un tam pievienotais paskaidrojuma raksts no 2025. gada </w:t>
            </w:r>
            <w:r w:rsidR="00E4576B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______ </w:t>
            </w:r>
            <w:r w:rsidRPr="00BA5A29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līdz 2025.gada </w:t>
            </w:r>
            <w:r w:rsidR="00E4576B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_______ </w:t>
            </w:r>
            <w:r w:rsidRPr="00BA5A29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tika publicēts pašvaldības oficiālajā tīmekļvietnē </w:t>
            </w:r>
            <w:hyperlink r:id="rId8" w:history="1">
              <w:r w:rsidR="009A2F62" w:rsidRPr="0005082F">
                <w:rPr>
                  <w:rStyle w:val="Hyperlink"/>
                  <w:rFonts w:eastAsiaTheme="minorHAnsi"/>
                </w:rPr>
                <w:t>www.jelgavasnovads.lv</w:t>
              </w:r>
            </w:hyperlink>
            <w:r w:rsidR="009A2F62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</w:t>
            </w:r>
            <w:r w:rsidRPr="00BA5A29">
              <w:rPr>
                <w:rFonts w:eastAsiaTheme="minorHAnsi"/>
                <w:kern w:val="2"/>
                <w:lang w:val="lv-LV"/>
                <w14:ligatures w14:val="standardContextual"/>
              </w:rPr>
              <w:t>sabiedrības viedokļa noskaidrošanai, nodrošinot iespēju ikvienai personai iesniegt savus priekšlikumus vai iebildumus.</w:t>
            </w:r>
            <w:r w:rsidR="00841BF0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 </w:t>
            </w:r>
            <w:r w:rsidR="00841BF0" w:rsidRPr="00841BF0">
              <w:rPr>
                <w:rFonts w:eastAsiaTheme="minorHAnsi"/>
                <w:kern w:val="2"/>
                <w:lang w:val="lv-LV"/>
                <w14:ligatures w14:val="standardContextual"/>
              </w:rPr>
              <w:t xml:space="preserve">Publicēšanas laikā </w:t>
            </w:r>
            <w:r w:rsidR="00841BF0" w:rsidRPr="00841BF0">
              <w:rPr>
                <w:rFonts w:eastAsiaTheme="minorHAnsi"/>
                <w:color w:val="EE0000"/>
                <w:kern w:val="2"/>
                <w:lang w:val="lv-LV"/>
                <w14:ligatures w14:val="standardContextual"/>
              </w:rPr>
              <w:t xml:space="preserve">netika/ tika </w:t>
            </w:r>
            <w:r w:rsidR="00841BF0" w:rsidRPr="00841BF0">
              <w:rPr>
                <w:rFonts w:eastAsiaTheme="minorHAnsi"/>
                <w:kern w:val="2"/>
                <w:lang w:val="lv-LV"/>
                <w14:ligatures w14:val="standardContextual"/>
              </w:rPr>
              <w:t>saņemti sabiedrības viedokļi.</w:t>
            </w:r>
          </w:p>
        </w:tc>
      </w:tr>
    </w:tbl>
    <w:p w14:paraId="533B53AC" w14:textId="07EFE792" w:rsidR="008709C3" w:rsidRDefault="008709C3" w:rsidP="00BA5A29">
      <w:pPr>
        <w:spacing w:after="160" w:line="259" w:lineRule="auto"/>
        <w:jc w:val="both"/>
        <w:rPr>
          <w:rFonts w:eastAsiaTheme="minorHAnsi"/>
          <w:kern w:val="2"/>
          <w:lang w:val="lv-LV"/>
          <w14:ligatures w14:val="standardContextual"/>
        </w:rPr>
      </w:pPr>
    </w:p>
    <w:p w14:paraId="2A8C1692" w14:textId="77777777" w:rsidR="00CC0706" w:rsidRPr="0005082F" w:rsidRDefault="00CC0706" w:rsidP="0005082F">
      <w:pPr>
        <w:rPr>
          <w:rFonts w:eastAsiaTheme="minorHAnsi"/>
          <w:lang w:val="lv-LV"/>
        </w:rPr>
      </w:pPr>
    </w:p>
    <w:p w14:paraId="5A5BDBA9" w14:textId="77777777" w:rsidR="00CC0706" w:rsidRDefault="00CC0706" w:rsidP="00CC0706">
      <w:pPr>
        <w:rPr>
          <w:rFonts w:eastAsiaTheme="minorHAnsi"/>
          <w:kern w:val="2"/>
          <w:lang w:val="lv-LV"/>
          <w14:ligatures w14:val="standardContextual"/>
        </w:rPr>
      </w:pPr>
    </w:p>
    <w:p w14:paraId="4F0206D5" w14:textId="5F151ED8" w:rsidR="00CC0706" w:rsidRPr="0005082F" w:rsidRDefault="00CC0706" w:rsidP="0005082F">
      <w:pPr>
        <w:rPr>
          <w:rFonts w:eastAsiaTheme="minorHAnsi"/>
          <w:lang w:val="lv-LV"/>
        </w:rPr>
      </w:pPr>
      <w:r>
        <w:rPr>
          <w:rFonts w:eastAsiaTheme="minorHAnsi"/>
          <w:lang w:val="lv-LV"/>
        </w:rPr>
        <w:t xml:space="preserve">Domes priekšsēdētājs                                                                         </w:t>
      </w:r>
      <w:proofErr w:type="spellStart"/>
      <w:r>
        <w:rPr>
          <w:rFonts w:eastAsiaTheme="minorHAnsi"/>
          <w:lang w:val="lv-LV"/>
        </w:rPr>
        <w:t>I.Zālītis</w:t>
      </w:r>
      <w:proofErr w:type="spellEnd"/>
    </w:p>
    <w:sectPr w:rsidR="00CC0706" w:rsidRPr="0005082F" w:rsidSect="0037699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0A0B" w14:textId="77777777" w:rsidR="00010AD1" w:rsidRDefault="00010AD1" w:rsidP="00010AD1">
      <w:r>
        <w:separator/>
      </w:r>
    </w:p>
  </w:endnote>
  <w:endnote w:type="continuationSeparator" w:id="0">
    <w:p w14:paraId="44F00D76" w14:textId="77777777" w:rsidR="00010AD1" w:rsidRDefault="00010AD1" w:rsidP="0001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88CCE" w14:textId="77777777" w:rsidR="00010AD1" w:rsidRDefault="00010AD1" w:rsidP="00010AD1">
      <w:r>
        <w:separator/>
      </w:r>
    </w:p>
  </w:footnote>
  <w:footnote w:type="continuationSeparator" w:id="0">
    <w:p w14:paraId="76904613" w14:textId="77777777" w:rsidR="00010AD1" w:rsidRDefault="00010AD1" w:rsidP="0001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34DB4"/>
    <w:multiLevelType w:val="hybridMultilevel"/>
    <w:tmpl w:val="4E581134"/>
    <w:lvl w:ilvl="0" w:tplc="38B04A3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83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DB"/>
    <w:rsid w:val="00003155"/>
    <w:rsid w:val="00010AD1"/>
    <w:rsid w:val="0005082F"/>
    <w:rsid w:val="0005650C"/>
    <w:rsid w:val="000807A1"/>
    <w:rsid w:val="000F46CE"/>
    <w:rsid w:val="001434A7"/>
    <w:rsid w:val="00176EBA"/>
    <w:rsid w:val="001A6A20"/>
    <w:rsid w:val="001B6708"/>
    <w:rsid w:val="00245416"/>
    <w:rsid w:val="00276A62"/>
    <w:rsid w:val="00282E9E"/>
    <w:rsid w:val="002F075E"/>
    <w:rsid w:val="00374994"/>
    <w:rsid w:val="00376994"/>
    <w:rsid w:val="00384A22"/>
    <w:rsid w:val="004156DB"/>
    <w:rsid w:val="004637E3"/>
    <w:rsid w:val="004F5F35"/>
    <w:rsid w:val="0055270B"/>
    <w:rsid w:val="00565B9F"/>
    <w:rsid w:val="00636D55"/>
    <w:rsid w:val="00674CAA"/>
    <w:rsid w:val="006900D9"/>
    <w:rsid w:val="006F76B9"/>
    <w:rsid w:val="00792D9A"/>
    <w:rsid w:val="007F27A2"/>
    <w:rsid w:val="00841BF0"/>
    <w:rsid w:val="008449D6"/>
    <w:rsid w:val="008709C3"/>
    <w:rsid w:val="00892E31"/>
    <w:rsid w:val="008A4BC8"/>
    <w:rsid w:val="00941147"/>
    <w:rsid w:val="00960012"/>
    <w:rsid w:val="009751EA"/>
    <w:rsid w:val="00993518"/>
    <w:rsid w:val="009951F7"/>
    <w:rsid w:val="009A2F62"/>
    <w:rsid w:val="009E4B7A"/>
    <w:rsid w:val="00AA6680"/>
    <w:rsid w:val="00AD0BB4"/>
    <w:rsid w:val="00B07B96"/>
    <w:rsid w:val="00B809B3"/>
    <w:rsid w:val="00B96EC7"/>
    <w:rsid w:val="00BA5A29"/>
    <w:rsid w:val="00BD78B4"/>
    <w:rsid w:val="00C557C5"/>
    <w:rsid w:val="00C97161"/>
    <w:rsid w:val="00CA654C"/>
    <w:rsid w:val="00CC0706"/>
    <w:rsid w:val="00D5578B"/>
    <w:rsid w:val="00D57E25"/>
    <w:rsid w:val="00D80894"/>
    <w:rsid w:val="00D864E8"/>
    <w:rsid w:val="00DB428B"/>
    <w:rsid w:val="00DD28BB"/>
    <w:rsid w:val="00E4576B"/>
    <w:rsid w:val="00EC7C99"/>
    <w:rsid w:val="00ED67A2"/>
    <w:rsid w:val="00FE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3DDD"/>
  <w15:chartTrackingRefBased/>
  <w15:docId w15:val="{D5607B83-14D3-4C51-885E-B7E4479C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6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6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6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6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6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6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6D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749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0A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AD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0A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AD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A2F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CD235-0769-4971-860C-9CF991D3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3445</Words>
  <Characters>1965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Ana</dc:creator>
  <cp:keywords/>
  <dc:description/>
  <cp:lastModifiedBy>Diana Rubene</cp:lastModifiedBy>
  <cp:revision>9</cp:revision>
  <dcterms:created xsi:type="dcterms:W3CDTF">2025-10-06T14:08:00Z</dcterms:created>
  <dcterms:modified xsi:type="dcterms:W3CDTF">2025-10-15T11:55:00Z</dcterms:modified>
</cp:coreProperties>
</file>