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15" w:rsidRDefault="00A64D15"/>
    <w:p w:rsidR="00871AD8" w:rsidRPr="002C7409" w:rsidRDefault="00FD1B04" w:rsidP="00871AD8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 w:val="28"/>
          <w:szCs w:val="28"/>
        </w:rPr>
      </w:pPr>
      <w:r>
        <w:rPr>
          <w:iCs/>
          <w:caps/>
          <w:spacing w:val="-2"/>
          <w:sz w:val="28"/>
          <w:szCs w:val="28"/>
        </w:rPr>
        <w:t>Zaļenieku arodvidusskola pils ēka</w:t>
      </w:r>
    </w:p>
    <w:p w:rsidR="00871AD8" w:rsidRDefault="00871AD8"/>
    <w:p w:rsidR="007D3BF8" w:rsidRPr="002A1204" w:rsidRDefault="007D3BF8" w:rsidP="007D3BF8">
      <w:pPr>
        <w:rPr>
          <w:rFonts w:ascii="Times New Roman Bold" w:hAnsi="Times New Roman Bold"/>
          <w:b/>
          <w:bCs/>
          <w:iCs/>
          <w:sz w:val="28"/>
          <w:szCs w:val="28"/>
        </w:rPr>
      </w:pPr>
      <w:r w:rsidRPr="002A1204">
        <w:rPr>
          <w:rFonts w:ascii="Times New Roman Bold" w:hAnsi="Times New Roman Bold"/>
          <w:b/>
          <w:bCs/>
          <w:iCs/>
          <w:sz w:val="28"/>
          <w:szCs w:val="28"/>
        </w:rPr>
        <w:t>Enerģijas un oglekļa dioksīda ietaupījumi</w:t>
      </w:r>
    </w:p>
    <w:p w:rsidR="007D3BF8" w:rsidRPr="00B76DD7" w:rsidRDefault="007D3BF8" w:rsidP="007D3BF8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7D3BF8" w:rsidRPr="005F5002" w:rsidTr="00871AD8">
        <w:trPr>
          <w:cantSplit/>
          <w:trHeight w:val="276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7D3BF8" w:rsidRPr="005F5002" w:rsidRDefault="007D3BF8" w:rsidP="00EF5568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7D3BF8" w:rsidRPr="005F5002" w:rsidRDefault="007D3BF8" w:rsidP="00EF5568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7D3BF8" w:rsidRPr="0042076C" w:rsidTr="00871AD8">
        <w:trPr>
          <w:trHeight w:val="276"/>
        </w:trPr>
        <w:tc>
          <w:tcPr>
            <w:tcW w:w="492" w:type="pct"/>
            <w:vMerge/>
            <w:shd w:val="clear" w:color="auto" w:fill="FFFFFF"/>
            <w:vAlign w:val="center"/>
          </w:tcPr>
          <w:p w:rsidR="007D3BF8" w:rsidRPr="0042076C" w:rsidRDefault="007D3BF8" w:rsidP="00EF5568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7D3BF8" w:rsidRPr="0042076C" w:rsidRDefault="007D3BF8" w:rsidP="00EF5568">
            <w:pPr>
              <w:shd w:val="clear" w:color="auto" w:fill="FFFFFF"/>
              <w:rPr>
                <w:szCs w:val="28"/>
              </w:rPr>
            </w:pPr>
          </w:p>
        </w:tc>
      </w:tr>
      <w:tr w:rsidR="004561BF" w:rsidRPr="0042076C" w:rsidTr="00871AD8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4561BF" w:rsidRPr="0068208F" w:rsidRDefault="004561BF" w:rsidP="005F5D57">
            <w:pPr>
              <w:shd w:val="clear" w:color="auto" w:fill="FFFFFF"/>
              <w:jc w:val="center"/>
            </w:pPr>
            <w:r w:rsidRPr="0068208F">
              <w:rPr>
                <w:bCs/>
                <w:iCs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585F0A" w:rsidRDefault="004561BF" w:rsidP="00FD1B04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 w:rsidRPr="00585F0A">
              <w:rPr>
                <w:rFonts w:eastAsia="Times New Roman"/>
                <w:b/>
                <w:sz w:val="24"/>
                <w:szCs w:val="24"/>
                <w:lang w:eastAsia="lv-LV"/>
              </w:rPr>
              <w:t>Bēniņu papildus siltināšana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ar </w:t>
            </w:r>
            <w:r w:rsidR="00585F0A">
              <w:rPr>
                <w:rFonts w:eastAsia="Times New Roman"/>
                <w:sz w:val="24"/>
                <w:szCs w:val="24"/>
                <w:lang w:eastAsia="lv-LV"/>
              </w:rPr>
              <w:t>minerālvati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280 - 300 mm biezumā (</w:t>
            </w:r>
            <w:proofErr w:type="spellStart"/>
            <w:r w:rsidR="00EA1E7F" w:rsidRPr="00585F0A">
              <w:rPr>
                <w:rFonts w:eastAsia="Times New Roman"/>
                <w:sz w:val="24"/>
                <w:szCs w:val="24"/>
                <w:lang w:eastAsia="lv-LV"/>
              </w:rPr>
              <w:t>siltumvadāmības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koeficients λ ≤ 0,039 </w:t>
            </w:r>
            <w:hyperlink r:id="rId5" w:tooltip="Watt" w:history="1">
              <w:r w:rsidRPr="00585F0A">
                <w:rPr>
                  <w:rFonts w:eastAsia="Times New Roman"/>
                  <w:sz w:val="24"/>
                  <w:szCs w:val="24"/>
                  <w:lang w:eastAsia="lv-LV"/>
                </w:rPr>
                <w:t>W</w:t>
              </w:r>
            </w:hyperlink>
            <w:r w:rsidRPr="00585F0A">
              <w:rPr>
                <w:rFonts w:eastAsia="Times New Roman"/>
                <w:sz w:val="24"/>
                <w:szCs w:val="24"/>
                <w:lang w:eastAsia="lv-LV"/>
              </w:rPr>
              <w:t>/(</w:t>
            </w:r>
            <w:proofErr w:type="spellStart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m·K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))</w:t>
            </w:r>
          </w:p>
          <w:p w:rsidR="004561BF" w:rsidRPr="0068208F" w:rsidRDefault="004561BF" w:rsidP="00982173">
            <w:pPr>
              <w:shd w:val="clear" w:color="auto" w:fill="FFFFFF"/>
              <w:jc w:val="center"/>
              <w:rPr>
                <w:b/>
              </w:rPr>
            </w:pPr>
            <w:r w:rsidRPr="00585F0A">
              <w:t xml:space="preserve">Jumta seguma un lietus ūdens noteku </w:t>
            </w:r>
            <w:r w:rsidR="00982173" w:rsidRPr="00585F0A">
              <w:t>nomaiņa</w:t>
            </w:r>
            <w:r w:rsidR="0081316B" w:rsidRPr="00585F0A">
              <w:t xml:space="preserve"> un lietus kanalizācijas sistēmas izbūve</w:t>
            </w:r>
          </w:p>
        </w:tc>
      </w:tr>
      <w:tr w:rsidR="004561BF" w:rsidRPr="0042076C" w:rsidTr="00871AD8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4561BF" w:rsidRPr="0068208F" w:rsidRDefault="004561BF" w:rsidP="005F5D57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68208F" w:rsidRDefault="004561BF" w:rsidP="00984808">
            <w:pPr>
              <w:shd w:val="clear" w:color="auto" w:fill="FFFFFF"/>
              <w:jc w:val="center"/>
            </w:pPr>
            <w:r w:rsidRPr="00585F0A">
              <w:rPr>
                <w:b/>
              </w:rPr>
              <w:t>Ārsienu tehniskā stāvokļa uzlabošana</w:t>
            </w:r>
            <w:r w:rsidRPr="00585F0A">
              <w:t xml:space="preserve">, </w:t>
            </w:r>
            <w:r w:rsidR="003D1A96" w:rsidRPr="00585F0A">
              <w:t>ārsienu konstr</w:t>
            </w:r>
            <w:r w:rsidR="00984808" w:rsidRPr="00585F0A">
              <w:t xml:space="preserve">ukciju un apmetuma atjaunošana, </w:t>
            </w:r>
            <w:r w:rsidRPr="00585F0A">
              <w:t>apmales izveidošana un sakārtošana.</w:t>
            </w:r>
          </w:p>
        </w:tc>
      </w:tr>
      <w:tr w:rsidR="004561BF" w:rsidRPr="0042076C" w:rsidTr="00FD1B04">
        <w:trPr>
          <w:trHeight w:val="1634"/>
        </w:trPr>
        <w:tc>
          <w:tcPr>
            <w:tcW w:w="492" w:type="pct"/>
            <w:shd w:val="clear" w:color="auto" w:fill="FFFFFF"/>
            <w:vAlign w:val="center"/>
          </w:tcPr>
          <w:p w:rsidR="004561BF" w:rsidRPr="0068208F" w:rsidRDefault="004561BF" w:rsidP="000F147B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68208F">
              <w:rPr>
                <w:bCs/>
                <w:iCs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FD1B04" w:rsidRDefault="004974F2" w:rsidP="00FD1B04">
            <w:pPr>
              <w:pStyle w:val="CommentText"/>
              <w:jc w:val="center"/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esošās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viencauruļu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sistēmas nomaiņa uz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divcauruļu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sistēmu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 sildķermeņu nomaiņa,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paredzot sistēmas balansēšanas un individuālas apkures ķermeņu regulēšanas iespējas uzstādot automātiskās regulēšanas sistēmu telpas sadalot atsevišķās zonās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 un nodroši</w:t>
            </w:r>
            <w:r w:rsidR="00585F0A">
              <w:rPr>
                <w:rFonts w:eastAsia="Times New Roman"/>
                <w:sz w:val="24"/>
                <w:szCs w:val="24"/>
                <w:lang w:eastAsia="lv-LV"/>
              </w:rPr>
              <w:t>not siltumenerģijas regulēšanu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 siltummezgla izbūve</w:t>
            </w:r>
          </w:p>
        </w:tc>
      </w:tr>
      <w:tr w:rsidR="004561BF" w:rsidRPr="0042076C" w:rsidTr="00871AD8">
        <w:trPr>
          <w:trHeight w:val="1159"/>
        </w:trPr>
        <w:tc>
          <w:tcPr>
            <w:tcW w:w="492" w:type="pct"/>
            <w:shd w:val="clear" w:color="auto" w:fill="FFFFFF"/>
            <w:vAlign w:val="center"/>
          </w:tcPr>
          <w:p w:rsidR="004561BF" w:rsidRPr="0068208F" w:rsidRDefault="004561BF" w:rsidP="000F147B">
            <w:pPr>
              <w:shd w:val="clear" w:color="auto" w:fill="FFFFFF"/>
              <w:jc w:val="center"/>
            </w:pPr>
            <w:r>
              <w:rPr>
                <w:bCs/>
                <w:iCs/>
              </w:rPr>
              <w:t>4</w:t>
            </w:r>
            <w:r w:rsidRPr="0068208F">
              <w:rPr>
                <w:bCs/>
                <w:iCs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68208F" w:rsidRDefault="004561BF" w:rsidP="00585F0A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>Karstā ūdens</w:t>
            </w: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izbūvēt karstā ūdens apgādes sistēmu virtuvē un </w:t>
            </w:r>
            <w:proofErr w:type="spellStart"/>
            <w:r>
              <w:rPr>
                <w:rFonts w:eastAsia="Times New Roman"/>
                <w:sz w:val="24"/>
                <w:szCs w:val="24"/>
                <w:lang w:eastAsia="lv-LV"/>
              </w:rPr>
              <w:t>sanmezglos</w:t>
            </w:r>
            <w:proofErr w:type="spellEnd"/>
            <w:r w:rsidR="00585F0A">
              <w:rPr>
                <w:rFonts w:eastAsia="Times New Roman"/>
                <w:sz w:val="24"/>
                <w:szCs w:val="24"/>
                <w:lang w:eastAsia="lv-LV"/>
              </w:rPr>
              <w:t>, pieslēdzot pie centralizētās siltumapgādes sistēmas (rezervei uzstādīt elektriskos boilerus)</w:t>
            </w:r>
          </w:p>
        </w:tc>
      </w:tr>
      <w:tr w:rsidR="004561BF" w:rsidRPr="0042076C" w:rsidTr="00871AD8">
        <w:trPr>
          <w:trHeight w:val="1119"/>
        </w:trPr>
        <w:tc>
          <w:tcPr>
            <w:tcW w:w="492" w:type="pct"/>
            <w:shd w:val="clear" w:color="auto" w:fill="FFFFFF"/>
            <w:vAlign w:val="center"/>
          </w:tcPr>
          <w:p w:rsidR="004561BF" w:rsidRDefault="004561BF" w:rsidP="00F457AD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FD1B04" w:rsidRDefault="004561BF" w:rsidP="003D1A96">
            <w:pPr>
              <w:shd w:val="clear" w:color="auto" w:fill="FFFFFF"/>
              <w:jc w:val="center"/>
            </w:pPr>
            <w:r w:rsidRPr="00FD1B04">
              <w:rPr>
                <w:b/>
              </w:rPr>
              <w:t>Ēkas veco koka logu nomaiņa</w:t>
            </w:r>
            <w:r w:rsidRPr="001C7A60">
              <w:t xml:space="preserve"> uz jauniem koka logiem ar vienā kārtā stiklotu vērtni ārpusē un pake</w:t>
            </w:r>
            <w:r w:rsidR="003D1A96">
              <w:t>šu loga vērtni iekšpusē (U ≤ 1,3 W/m</w:t>
            </w:r>
            <w:r w:rsidR="003D1A96">
              <w:rPr>
                <w:vertAlign w:val="superscript"/>
              </w:rPr>
              <w:t>2</w:t>
            </w:r>
            <w:r w:rsidR="003D1A96">
              <w:t>K</w:t>
            </w:r>
            <w:r w:rsidRPr="001C7A60">
              <w:t>)</w:t>
            </w:r>
          </w:p>
        </w:tc>
      </w:tr>
      <w:tr w:rsidR="004561BF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4561BF" w:rsidRDefault="004561BF" w:rsidP="00F457AD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FD1B04" w:rsidRDefault="004561BF" w:rsidP="003D1A96">
            <w:pPr>
              <w:shd w:val="clear" w:color="auto" w:fill="FFFFFF"/>
              <w:jc w:val="center"/>
            </w:pPr>
            <w:r w:rsidRPr="00FD1B04">
              <w:rPr>
                <w:b/>
              </w:rPr>
              <w:t xml:space="preserve">Ēkas veco koka durvju nomaiņa </w:t>
            </w:r>
            <w:r w:rsidRPr="00FD1B04">
              <w:t>uz jaunām koka durvīm (t.</w:t>
            </w:r>
            <w:r w:rsidR="003D1A96">
              <w:t>sk. durvis uz bēniņiem) (U ≤ 1,6 W/m</w:t>
            </w:r>
            <w:r w:rsidR="003D1A96">
              <w:rPr>
                <w:vertAlign w:val="superscript"/>
              </w:rPr>
              <w:t>2</w:t>
            </w:r>
            <w:r w:rsidR="003D1A96">
              <w:t>K</w:t>
            </w:r>
            <w:r w:rsidRPr="00FD1B04">
              <w:t>)</w:t>
            </w:r>
          </w:p>
        </w:tc>
      </w:tr>
      <w:tr w:rsidR="004561BF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4561BF" w:rsidRDefault="004561BF" w:rsidP="00EF5568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68208F" w:rsidRDefault="004561BF" w:rsidP="00883F3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585F0A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585F0A" w:rsidRDefault="00585F0A" w:rsidP="00EF5568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85F0A" w:rsidRPr="00585F0A" w:rsidRDefault="00585F0A" w:rsidP="00585F0A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 xml:space="preserve">1. stāva grīdu papildus siltināšana un rekonstrukcija 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ar 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siltumizolācijas slāni 100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mm biezumā (</w:t>
            </w:r>
            <w:proofErr w:type="spellStart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siltumvadāmības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koeficients λ ≤ 0,039 </w:t>
            </w:r>
            <w:hyperlink r:id="rId6" w:tooltip="Watt" w:history="1">
              <w:r w:rsidRPr="00585F0A">
                <w:rPr>
                  <w:rFonts w:eastAsia="Times New Roman"/>
                  <w:sz w:val="24"/>
                  <w:szCs w:val="24"/>
                  <w:lang w:eastAsia="lv-LV"/>
                </w:rPr>
                <w:t>W</w:t>
              </w:r>
            </w:hyperlink>
            <w:r w:rsidRPr="00585F0A">
              <w:rPr>
                <w:rFonts w:eastAsia="Times New Roman"/>
                <w:sz w:val="24"/>
                <w:szCs w:val="24"/>
                <w:lang w:eastAsia="lv-LV"/>
              </w:rPr>
              <w:t>/(</w:t>
            </w:r>
            <w:proofErr w:type="spellStart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m·K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))</w:t>
            </w:r>
          </w:p>
        </w:tc>
      </w:tr>
      <w:tr w:rsidR="004561BF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4561BF" w:rsidRDefault="00585F0A" w:rsidP="00EF5568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85F0A" w:rsidRDefault="004561BF" w:rsidP="004561BF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Dabiskās ventilācijas sistēmas sakārtošana un remonts</w:t>
            </w:r>
            <w:r w:rsidR="00585F0A">
              <w:rPr>
                <w:b/>
                <w:sz w:val="24"/>
                <w:szCs w:val="24"/>
              </w:rPr>
              <w:t>.</w:t>
            </w:r>
          </w:p>
          <w:p w:rsidR="004561BF" w:rsidRDefault="00585F0A" w:rsidP="004561BF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Mehāniskās ventilācijas sistēmas izbūve ar rekuperāciju.</w:t>
            </w:r>
          </w:p>
        </w:tc>
      </w:tr>
      <w:tr w:rsidR="00585F0A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585F0A" w:rsidRDefault="00585F0A" w:rsidP="00EF5568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585F0A" w:rsidRDefault="00585F0A" w:rsidP="004561BF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Aukstā ūdens apgādes un kanalizācijas sistēmas rekonstrukcija</w:t>
            </w:r>
          </w:p>
        </w:tc>
      </w:tr>
      <w:tr w:rsidR="004561BF" w:rsidRPr="0042076C" w:rsidTr="00871AD8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4561BF" w:rsidRDefault="00585F0A" w:rsidP="00EF5568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11</w:t>
            </w:r>
            <w:r w:rsidR="004561BF">
              <w:rPr>
                <w:bCs/>
                <w:iCs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4561BF" w:rsidRPr="004561BF" w:rsidRDefault="004561BF" w:rsidP="00F321CE">
            <w:pPr>
              <w:pStyle w:val="CommentText"/>
              <w:jc w:val="center"/>
              <w:rPr>
                <w:sz w:val="24"/>
                <w:szCs w:val="24"/>
              </w:rPr>
            </w:pPr>
            <w:r w:rsidRPr="004561BF">
              <w:rPr>
                <w:b/>
                <w:sz w:val="24"/>
                <w:szCs w:val="24"/>
              </w:rPr>
              <w:t xml:space="preserve">Katlu mājas rekonstrukcija, </w:t>
            </w:r>
            <w:r w:rsidRPr="004561BF">
              <w:rPr>
                <w:sz w:val="24"/>
                <w:szCs w:val="24"/>
              </w:rPr>
              <w:t>izbūvējot jaunu sistēmu un uzstādot ūdenssildāmo katlu</w:t>
            </w:r>
            <w:r w:rsidR="00585F0A">
              <w:rPr>
                <w:sz w:val="24"/>
                <w:szCs w:val="24"/>
              </w:rPr>
              <w:t xml:space="preserve"> (jauda 400 kW), k</w:t>
            </w:r>
            <w:r w:rsidRPr="004561BF">
              <w:rPr>
                <w:sz w:val="24"/>
                <w:szCs w:val="24"/>
              </w:rPr>
              <w:t>urināmā nomaiņa no akmeņoglēm uz šķeldu.</w:t>
            </w:r>
          </w:p>
          <w:p w:rsidR="004561BF" w:rsidRDefault="004561BF" w:rsidP="00585F0A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4561BF">
              <w:rPr>
                <w:sz w:val="24"/>
                <w:szCs w:val="24"/>
              </w:rPr>
              <w:t>Siltumtrases rekonstrukcija no katlu mājas līdz patērētājiem</w:t>
            </w:r>
            <w:r w:rsidR="00984808">
              <w:rPr>
                <w:sz w:val="24"/>
                <w:szCs w:val="24"/>
              </w:rPr>
              <w:t xml:space="preserve">. </w:t>
            </w:r>
          </w:p>
        </w:tc>
      </w:tr>
    </w:tbl>
    <w:p w:rsidR="00251605" w:rsidRDefault="00251605"/>
    <w:p w:rsidR="00251605" w:rsidRDefault="00251605">
      <w:pPr>
        <w:spacing w:after="200" w:line="276" w:lineRule="auto"/>
      </w:pPr>
      <w:r>
        <w:br w:type="page"/>
      </w:r>
      <w:bookmarkStart w:id="0" w:name="_GoBack"/>
      <w:bookmarkEnd w:id="0"/>
    </w:p>
    <w:p w:rsidR="00251605" w:rsidRPr="002C7409" w:rsidRDefault="00251605" w:rsidP="00251605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 w:val="28"/>
          <w:szCs w:val="28"/>
        </w:rPr>
      </w:pPr>
      <w:r>
        <w:rPr>
          <w:iCs/>
          <w:caps/>
          <w:spacing w:val="-2"/>
          <w:sz w:val="28"/>
          <w:szCs w:val="28"/>
        </w:rPr>
        <w:lastRenderedPageBreak/>
        <w:t>Zaļenieku arodvidusskola Mācību korpuss ēka</w:t>
      </w:r>
      <w:r w:rsidR="00A10738">
        <w:rPr>
          <w:iCs/>
          <w:caps/>
          <w:spacing w:val="-2"/>
          <w:sz w:val="28"/>
          <w:szCs w:val="28"/>
        </w:rPr>
        <w:t xml:space="preserve"> (STAĻĻI)</w:t>
      </w:r>
    </w:p>
    <w:p w:rsidR="00251605" w:rsidRDefault="00251605" w:rsidP="00251605"/>
    <w:p w:rsidR="00251605" w:rsidRPr="002A1204" w:rsidRDefault="00251605" w:rsidP="00251605">
      <w:pPr>
        <w:rPr>
          <w:rFonts w:ascii="Times New Roman Bold" w:hAnsi="Times New Roman Bold"/>
          <w:b/>
          <w:bCs/>
          <w:iCs/>
          <w:sz w:val="28"/>
          <w:szCs w:val="28"/>
        </w:rPr>
      </w:pPr>
      <w:r w:rsidRPr="002A1204">
        <w:rPr>
          <w:rFonts w:ascii="Times New Roman Bold" w:hAnsi="Times New Roman Bold"/>
          <w:b/>
          <w:bCs/>
          <w:iCs/>
          <w:sz w:val="28"/>
          <w:szCs w:val="28"/>
        </w:rPr>
        <w:t>Enerģijas un oglekļa dioksīda ietaupījumi</w:t>
      </w:r>
    </w:p>
    <w:p w:rsidR="00251605" w:rsidRPr="00B76DD7" w:rsidRDefault="00251605" w:rsidP="00251605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251605" w:rsidRPr="005F5002" w:rsidTr="003B5302">
        <w:trPr>
          <w:cantSplit/>
          <w:trHeight w:val="276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251605" w:rsidRPr="005F5002" w:rsidRDefault="00251605" w:rsidP="003B5302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251605" w:rsidRPr="005F5002" w:rsidRDefault="00251605" w:rsidP="003B5302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251605" w:rsidRPr="0042076C" w:rsidTr="003B5302">
        <w:trPr>
          <w:trHeight w:val="276"/>
        </w:trPr>
        <w:tc>
          <w:tcPr>
            <w:tcW w:w="492" w:type="pct"/>
            <w:vMerge/>
            <w:shd w:val="clear" w:color="auto" w:fill="FFFFFF"/>
            <w:vAlign w:val="center"/>
          </w:tcPr>
          <w:p w:rsidR="00251605" w:rsidRPr="0042076C" w:rsidRDefault="00251605" w:rsidP="003B5302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251605" w:rsidRPr="0042076C" w:rsidRDefault="00251605" w:rsidP="003B5302">
            <w:pPr>
              <w:shd w:val="clear" w:color="auto" w:fill="FFFFFF"/>
              <w:rPr>
                <w:szCs w:val="28"/>
              </w:rPr>
            </w:pPr>
          </w:p>
        </w:tc>
      </w:tr>
      <w:tr w:rsidR="00251605" w:rsidRPr="0042076C" w:rsidTr="003B5302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251605" w:rsidRPr="0068208F" w:rsidRDefault="00251605" w:rsidP="003B5302">
            <w:pPr>
              <w:shd w:val="clear" w:color="auto" w:fill="FFFFFF"/>
              <w:jc w:val="center"/>
            </w:pPr>
            <w:r w:rsidRPr="0068208F">
              <w:rPr>
                <w:bCs/>
                <w:iCs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Default="00251605" w:rsidP="003B5302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Bēniņu</w:t>
            </w:r>
            <w:r w:rsidRPr="0068208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papildus </w:t>
            </w:r>
            <w:r w:rsidRPr="0068208F">
              <w:rPr>
                <w:b/>
                <w:sz w:val="24"/>
                <w:szCs w:val="24"/>
              </w:rPr>
              <w:t xml:space="preserve">siltināšana </w:t>
            </w:r>
            <w:r>
              <w:rPr>
                <w:sz w:val="24"/>
                <w:szCs w:val="24"/>
              </w:rPr>
              <w:t>ar akmens vati 280 - 300</w:t>
            </w:r>
            <w:r w:rsidRPr="0068208F">
              <w:rPr>
                <w:sz w:val="24"/>
                <w:szCs w:val="24"/>
              </w:rPr>
              <w:t xml:space="preserve"> mm</w:t>
            </w:r>
            <w:r>
              <w:rPr>
                <w:sz w:val="24"/>
                <w:szCs w:val="24"/>
              </w:rPr>
              <w:t xml:space="preserve"> biezumā</w:t>
            </w:r>
            <w:r w:rsidRPr="0068208F">
              <w:rPr>
                <w:sz w:val="24"/>
                <w:szCs w:val="24"/>
              </w:rPr>
              <w:t xml:space="preserve"> (</w:t>
            </w:r>
            <w:proofErr w:type="spellStart"/>
            <w:r w:rsidR="00EA1E7F"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7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))</w:t>
            </w:r>
          </w:p>
          <w:p w:rsidR="00251605" w:rsidRPr="0068208F" w:rsidRDefault="00C63D0B" w:rsidP="0081316B">
            <w:pPr>
              <w:shd w:val="clear" w:color="auto" w:fill="FFFFFF"/>
              <w:jc w:val="center"/>
              <w:rPr>
                <w:b/>
              </w:rPr>
            </w:pPr>
            <w:r>
              <w:t>Jumta seguma,</w:t>
            </w:r>
            <w:r w:rsidR="00251605">
              <w:t xml:space="preserve"> lietus ūdens </w:t>
            </w:r>
            <w:r w:rsidR="00251605" w:rsidRPr="00706134">
              <w:t xml:space="preserve">noteku </w:t>
            </w:r>
            <w:r w:rsidR="0081316B" w:rsidRPr="00706134">
              <w:t xml:space="preserve">nomaiņa </w:t>
            </w:r>
            <w:r w:rsidRPr="00706134">
              <w:t>un lietus kanalizācijas sistēmas izbūve</w:t>
            </w:r>
          </w:p>
        </w:tc>
      </w:tr>
      <w:tr w:rsidR="00251605" w:rsidRPr="0042076C" w:rsidTr="003B5302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251605" w:rsidRPr="0068208F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68208F" w:rsidRDefault="00251605" w:rsidP="004B3076">
            <w:pPr>
              <w:shd w:val="clear" w:color="auto" w:fill="FFFFFF"/>
              <w:jc w:val="center"/>
            </w:pPr>
            <w:r w:rsidRPr="00706134">
              <w:rPr>
                <w:b/>
              </w:rPr>
              <w:t>Ārsienu tehniskā stāvokļa uzlabošana</w:t>
            </w:r>
            <w:r w:rsidRPr="00706134">
              <w:t>, apmales izveidošana un sakārtošana.</w:t>
            </w:r>
          </w:p>
        </w:tc>
      </w:tr>
      <w:tr w:rsidR="00251605" w:rsidRPr="0042076C" w:rsidTr="003B5302">
        <w:trPr>
          <w:trHeight w:val="1634"/>
        </w:trPr>
        <w:tc>
          <w:tcPr>
            <w:tcW w:w="492" w:type="pct"/>
            <w:shd w:val="clear" w:color="auto" w:fill="FFFFFF"/>
            <w:vAlign w:val="center"/>
          </w:tcPr>
          <w:p w:rsidR="00251605" w:rsidRPr="0068208F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68208F">
              <w:rPr>
                <w:bCs/>
                <w:iCs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FD1B04" w:rsidRDefault="00251605" w:rsidP="003B5302">
            <w:pPr>
              <w:pStyle w:val="CommentText"/>
              <w:jc w:val="center"/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esošās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viencauruļu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sistēmas nomaiņa uz </w:t>
            </w:r>
            <w:proofErr w:type="spellStart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>divcauruļu</w:t>
            </w:r>
            <w:proofErr w:type="spellEnd"/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apkures sistēmu</w:t>
            </w:r>
            <w:r w:rsidR="004974F2">
              <w:rPr>
                <w:rFonts w:eastAsia="Times New Roman"/>
                <w:sz w:val="24"/>
                <w:szCs w:val="24"/>
                <w:lang w:eastAsia="lv-LV"/>
              </w:rPr>
              <w:t>, sildķermeņu nomaiņa,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paredzot sistēmas balansēšanas un individuālas apkures ķermeņu regulēšanas iespējas uzstādot automātiskās regulēšanas sistēmu telpas sadalot atsevišķās zonās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 un nodrošinot siltumenerģijas regulēšanu</w:t>
            </w:r>
            <w:r w:rsidR="003D1A96">
              <w:rPr>
                <w:rFonts w:eastAsia="Times New Roman"/>
                <w:sz w:val="24"/>
                <w:szCs w:val="24"/>
                <w:lang w:eastAsia="lv-LV"/>
              </w:rPr>
              <w:t>, , siltummezgla izbūve</w:t>
            </w:r>
          </w:p>
        </w:tc>
      </w:tr>
      <w:tr w:rsidR="00251605" w:rsidRPr="0042076C" w:rsidTr="003B5302">
        <w:trPr>
          <w:trHeight w:val="1159"/>
        </w:trPr>
        <w:tc>
          <w:tcPr>
            <w:tcW w:w="492" w:type="pct"/>
            <w:shd w:val="clear" w:color="auto" w:fill="FFFFFF"/>
            <w:vAlign w:val="center"/>
          </w:tcPr>
          <w:p w:rsidR="00251605" w:rsidRPr="0068208F" w:rsidRDefault="00251605" w:rsidP="003B5302">
            <w:pPr>
              <w:shd w:val="clear" w:color="auto" w:fill="FFFFFF"/>
              <w:jc w:val="center"/>
            </w:pPr>
            <w:r>
              <w:rPr>
                <w:bCs/>
                <w:iCs/>
              </w:rPr>
              <w:t>4</w:t>
            </w:r>
            <w:r w:rsidRPr="0068208F">
              <w:rPr>
                <w:bCs/>
                <w:iCs/>
              </w:rPr>
              <w:t>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68208F" w:rsidRDefault="00706134" w:rsidP="00706134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>Karstā ūdens</w:t>
            </w: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</w:t>
            </w:r>
            <w:r w:rsidRPr="00FD1B04">
              <w:rPr>
                <w:rFonts w:eastAsia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izbūvēt karstā ūdens apgādes sistēmu visā ēkā, pieslēdzot pie centralizētās siltumapgādes sistēmas (rezervei uzstādīt elektriskos boilerus)</w:t>
            </w:r>
          </w:p>
        </w:tc>
      </w:tr>
      <w:tr w:rsidR="00251605" w:rsidRPr="0042076C" w:rsidTr="003B5302">
        <w:trPr>
          <w:trHeight w:val="1119"/>
        </w:trPr>
        <w:tc>
          <w:tcPr>
            <w:tcW w:w="492" w:type="pct"/>
            <w:shd w:val="clear" w:color="auto" w:fill="FFFFFF"/>
            <w:vAlign w:val="center"/>
          </w:tcPr>
          <w:p w:rsidR="00251605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FD1B04" w:rsidRDefault="00251605" w:rsidP="003B5302">
            <w:pPr>
              <w:shd w:val="clear" w:color="auto" w:fill="FFFFFF"/>
              <w:jc w:val="center"/>
            </w:pPr>
            <w:r w:rsidRPr="00FD1B04">
              <w:rPr>
                <w:b/>
              </w:rPr>
              <w:t>Ēkas veco koka logu nomaiņa</w:t>
            </w:r>
            <w:r w:rsidRPr="001C7A60">
              <w:t xml:space="preserve"> uz jauniem koka logiem ar vienā kārtā stiklotu vērtni ārpusē un pakešu loga vērtni iekšpusē </w:t>
            </w:r>
            <w:r w:rsidR="003D1A96">
              <w:t>(U ≤ 1,3 W/m</w:t>
            </w:r>
            <w:r w:rsidR="003D1A96">
              <w:rPr>
                <w:vertAlign w:val="superscript"/>
              </w:rPr>
              <w:t>2</w:t>
            </w:r>
            <w:r w:rsidR="003D1A96">
              <w:t>K</w:t>
            </w:r>
            <w:r w:rsidR="003D1A96" w:rsidRPr="001C7A60">
              <w:t>)</w:t>
            </w:r>
          </w:p>
        </w:tc>
      </w:tr>
      <w:tr w:rsidR="00251605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251605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FD1B04" w:rsidRDefault="00251605" w:rsidP="003D1A96">
            <w:pPr>
              <w:shd w:val="clear" w:color="auto" w:fill="FFFFFF"/>
              <w:jc w:val="center"/>
            </w:pPr>
            <w:r w:rsidRPr="00FD1B04">
              <w:rPr>
                <w:b/>
              </w:rPr>
              <w:t xml:space="preserve">Ēkas veco koka durvju nomaiņa </w:t>
            </w:r>
            <w:r w:rsidRPr="00FD1B04">
              <w:t xml:space="preserve">uz jaunām koka durvīm ar </w:t>
            </w:r>
            <w:proofErr w:type="spellStart"/>
            <w:r w:rsidRPr="00FD1B04">
              <w:t>blīvgumijām</w:t>
            </w:r>
            <w:proofErr w:type="spellEnd"/>
            <w:r w:rsidRPr="00FD1B04">
              <w:t xml:space="preserve"> </w:t>
            </w:r>
            <w:r w:rsidR="003D1A96">
              <w:t>(U ≤ 1,6 W/m</w:t>
            </w:r>
            <w:r w:rsidR="003D1A96">
              <w:rPr>
                <w:vertAlign w:val="superscript"/>
              </w:rPr>
              <w:t>2</w:t>
            </w:r>
            <w:r w:rsidR="003D1A96">
              <w:t>K</w:t>
            </w:r>
            <w:r w:rsidR="003D1A96" w:rsidRPr="001C7A60">
              <w:t>)</w:t>
            </w:r>
          </w:p>
        </w:tc>
      </w:tr>
      <w:tr w:rsidR="00251605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251605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Pr="0068208F" w:rsidRDefault="00251605" w:rsidP="003B530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Elektroapgādes un apgaismojuma sistēmas nomaiņa un darbības uzlabošana</w:t>
            </w:r>
          </w:p>
        </w:tc>
      </w:tr>
      <w:tr w:rsidR="00251605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251605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Default="00251605" w:rsidP="003B530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Dabiskās ventilācijas sistēmas sakārtošana un remonts</w:t>
            </w:r>
            <w:r w:rsidR="00706134">
              <w:rPr>
                <w:b/>
                <w:sz w:val="24"/>
                <w:szCs w:val="24"/>
              </w:rPr>
              <w:t>.</w:t>
            </w:r>
          </w:p>
          <w:p w:rsidR="00706134" w:rsidRDefault="00706134" w:rsidP="003B530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Mehāniskās ventilācijas sistēmas izbūve ar rekuperāciju.</w:t>
            </w:r>
          </w:p>
        </w:tc>
      </w:tr>
      <w:tr w:rsidR="00251605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251605" w:rsidRDefault="00251605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251605" w:rsidRDefault="00251605" w:rsidP="00F97BA2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251605">
              <w:rPr>
                <w:b/>
                <w:sz w:val="24"/>
                <w:szCs w:val="24"/>
              </w:rPr>
              <w:t xml:space="preserve">Siltumtrases rekonstrukcija no katlu mājas līdz </w:t>
            </w:r>
            <w:r w:rsidR="00F97BA2">
              <w:rPr>
                <w:b/>
                <w:sz w:val="24"/>
                <w:szCs w:val="24"/>
              </w:rPr>
              <w:t>ēkai</w:t>
            </w:r>
          </w:p>
        </w:tc>
      </w:tr>
      <w:tr w:rsidR="00706134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706134" w:rsidRDefault="00706134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706134" w:rsidRPr="00585F0A" w:rsidRDefault="00706134" w:rsidP="007F7858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 xml:space="preserve">1. stāva grīdu papildus siltināšana un rekonstrukcija 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ar 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siltumizolācijas slāni 100</w:t>
            </w:r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mm biezumā (</w:t>
            </w:r>
            <w:proofErr w:type="spellStart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siltumvadāmības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 xml:space="preserve"> koeficients λ ≤ 0,039 </w:t>
            </w:r>
            <w:hyperlink r:id="rId8" w:tooltip="Watt" w:history="1">
              <w:r w:rsidRPr="00585F0A">
                <w:rPr>
                  <w:rFonts w:eastAsia="Times New Roman"/>
                  <w:sz w:val="24"/>
                  <w:szCs w:val="24"/>
                  <w:lang w:eastAsia="lv-LV"/>
                </w:rPr>
                <w:t>W</w:t>
              </w:r>
            </w:hyperlink>
            <w:r w:rsidRPr="00585F0A">
              <w:rPr>
                <w:rFonts w:eastAsia="Times New Roman"/>
                <w:sz w:val="24"/>
                <w:szCs w:val="24"/>
                <w:lang w:eastAsia="lv-LV"/>
              </w:rPr>
              <w:t>/(</w:t>
            </w:r>
            <w:proofErr w:type="spellStart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m·K</w:t>
            </w:r>
            <w:proofErr w:type="spellEnd"/>
            <w:r w:rsidRPr="00585F0A">
              <w:rPr>
                <w:rFonts w:eastAsia="Times New Roman"/>
                <w:sz w:val="24"/>
                <w:szCs w:val="24"/>
                <w:lang w:eastAsia="lv-LV"/>
              </w:rPr>
              <w:t>))</w:t>
            </w:r>
          </w:p>
        </w:tc>
      </w:tr>
      <w:tr w:rsidR="00706134" w:rsidRPr="0042076C" w:rsidTr="003B5302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706134" w:rsidRDefault="00706134" w:rsidP="003B5302">
            <w:pPr>
              <w:shd w:val="clear" w:color="auto" w:fill="FFFFFF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706134" w:rsidRDefault="00706134" w:rsidP="007F7858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Aukstā ūdens apgādes un kanalizācijas sistēmas rekonstrukcija</w:t>
            </w:r>
          </w:p>
        </w:tc>
      </w:tr>
    </w:tbl>
    <w:p w:rsidR="007D3BF8" w:rsidRDefault="0081316B" w:rsidP="00585F0A">
      <w:pPr>
        <w:spacing w:after="200" w:line="276" w:lineRule="auto"/>
      </w:pPr>
      <w:r>
        <w:t xml:space="preserve"> </w:t>
      </w:r>
    </w:p>
    <w:p w:rsidR="00064EDC" w:rsidRDefault="00064EDC" w:rsidP="00585F0A">
      <w:pPr>
        <w:spacing w:after="200" w:line="276" w:lineRule="auto"/>
      </w:pPr>
    </w:p>
    <w:sectPr w:rsidR="00064EDC" w:rsidSect="00A64D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F8"/>
    <w:rsid w:val="00000C43"/>
    <w:rsid w:val="00006DF5"/>
    <w:rsid w:val="0001244F"/>
    <w:rsid w:val="00013D26"/>
    <w:rsid w:val="00023213"/>
    <w:rsid w:val="00032E8C"/>
    <w:rsid w:val="000362EE"/>
    <w:rsid w:val="00042655"/>
    <w:rsid w:val="00063280"/>
    <w:rsid w:val="00064EDC"/>
    <w:rsid w:val="00071BF6"/>
    <w:rsid w:val="0007264E"/>
    <w:rsid w:val="00073054"/>
    <w:rsid w:val="00080ABB"/>
    <w:rsid w:val="0008345C"/>
    <w:rsid w:val="00083A11"/>
    <w:rsid w:val="000849C1"/>
    <w:rsid w:val="0008642E"/>
    <w:rsid w:val="00086BE5"/>
    <w:rsid w:val="00091136"/>
    <w:rsid w:val="00092055"/>
    <w:rsid w:val="000963B5"/>
    <w:rsid w:val="000970AC"/>
    <w:rsid w:val="000B0D72"/>
    <w:rsid w:val="000C0689"/>
    <w:rsid w:val="000C218E"/>
    <w:rsid w:val="000C713A"/>
    <w:rsid w:val="000D14C9"/>
    <w:rsid w:val="000D2CD5"/>
    <w:rsid w:val="000D684A"/>
    <w:rsid w:val="000D79E9"/>
    <w:rsid w:val="000E2421"/>
    <w:rsid w:val="000E2839"/>
    <w:rsid w:val="000E3864"/>
    <w:rsid w:val="000E614D"/>
    <w:rsid w:val="000E650F"/>
    <w:rsid w:val="000E656E"/>
    <w:rsid w:val="000F6BC8"/>
    <w:rsid w:val="000F6BDC"/>
    <w:rsid w:val="00106385"/>
    <w:rsid w:val="00111A2B"/>
    <w:rsid w:val="001158BE"/>
    <w:rsid w:val="00120688"/>
    <w:rsid w:val="001223D8"/>
    <w:rsid w:val="001224B5"/>
    <w:rsid w:val="0013156B"/>
    <w:rsid w:val="0013368C"/>
    <w:rsid w:val="001342B1"/>
    <w:rsid w:val="00140451"/>
    <w:rsid w:val="00146699"/>
    <w:rsid w:val="0015116C"/>
    <w:rsid w:val="001511A9"/>
    <w:rsid w:val="00152029"/>
    <w:rsid w:val="00154A88"/>
    <w:rsid w:val="00154A8C"/>
    <w:rsid w:val="001551AE"/>
    <w:rsid w:val="001555B0"/>
    <w:rsid w:val="00156A5B"/>
    <w:rsid w:val="001626C9"/>
    <w:rsid w:val="0016429E"/>
    <w:rsid w:val="00171A63"/>
    <w:rsid w:val="00173CD7"/>
    <w:rsid w:val="00174A88"/>
    <w:rsid w:val="00176BF1"/>
    <w:rsid w:val="00180AB0"/>
    <w:rsid w:val="00181C49"/>
    <w:rsid w:val="00183132"/>
    <w:rsid w:val="00184BAA"/>
    <w:rsid w:val="00185CE0"/>
    <w:rsid w:val="00187848"/>
    <w:rsid w:val="001908CE"/>
    <w:rsid w:val="0019162B"/>
    <w:rsid w:val="001925AD"/>
    <w:rsid w:val="00197879"/>
    <w:rsid w:val="001A67B7"/>
    <w:rsid w:val="001A6DFE"/>
    <w:rsid w:val="001B0C17"/>
    <w:rsid w:val="001B61C8"/>
    <w:rsid w:val="001B7FCA"/>
    <w:rsid w:val="001C1ABB"/>
    <w:rsid w:val="001C272A"/>
    <w:rsid w:val="001C7F5B"/>
    <w:rsid w:val="001E00ED"/>
    <w:rsid w:val="001E21A7"/>
    <w:rsid w:val="001E2E08"/>
    <w:rsid w:val="001E32CC"/>
    <w:rsid w:val="001F0483"/>
    <w:rsid w:val="001F1591"/>
    <w:rsid w:val="00202922"/>
    <w:rsid w:val="002049D5"/>
    <w:rsid w:val="00207498"/>
    <w:rsid w:val="002101E3"/>
    <w:rsid w:val="002136D9"/>
    <w:rsid w:val="00221E74"/>
    <w:rsid w:val="00223BB2"/>
    <w:rsid w:val="00224229"/>
    <w:rsid w:val="00224E7D"/>
    <w:rsid w:val="00241BA4"/>
    <w:rsid w:val="00251605"/>
    <w:rsid w:val="002557A0"/>
    <w:rsid w:val="00255BB9"/>
    <w:rsid w:val="00263ACE"/>
    <w:rsid w:val="00265813"/>
    <w:rsid w:val="00267C2D"/>
    <w:rsid w:val="002733E9"/>
    <w:rsid w:val="0027651E"/>
    <w:rsid w:val="002779BC"/>
    <w:rsid w:val="00277ACA"/>
    <w:rsid w:val="002861EF"/>
    <w:rsid w:val="00287364"/>
    <w:rsid w:val="00287690"/>
    <w:rsid w:val="002909A7"/>
    <w:rsid w:val="002916D8"/>
    <w:rsid w:val="00297430"/>
    <w:rsid w:val="002A65C6"/>
    <w:rsid w:val="002A7027"/>
    <w:rsid w:val="002A723D"/>
    <w:rsid w:val="002B6EEA"/>
    <w:rsid w:val="002B7040"/>
    <w:rsid w:val="002C24EE"/>
    <w:rsid w:val="002C3733"/>
    <w:rsid w:val="002C70D2"/>
    <w:rsid w:val="002D602C"/>
    <w:rsid w:val="002D657A"/>
    <w:rsid w:val="002E06D5"/>
    <w:rsid w:val="002E53F0"/>
    <w:rsid w:val="002E5704"/>
    <w:rsid w:val="002E6C4C"/>
    <w:rsid w:val="002F4EC1"/>
    <w:rsid w:val="00300454"/>
    <w:rsid w:val="00301F88"/>
    <w:rsid w:val="00315A71"/>
    <w:rsid w:val="0032199A"/>
    <w:rsid w:val="00321EE5"/>
    <w:rsid w:val="0032560B"/>
    <w:rsid w:val="003265D0"/>
    <w:rsid w:val="00326E70"/>
    <w:rsid w:val="0034653C"/>
    <w:rsid w:val="0034735D"/>
    <w:rsid w:val="00347DC3"/>
    <w:rsid w:val="00354CC7"/>
    <w:rsid w:val="00364FD4"/>
    <w:rsid w:val="003734CE"/>
    <w:rsid w:val="003742C0"/>
    <w:rsid w:val="0037649C"/>
    <w:rsid w:val="00376DF8"/>
    <w:rsid w:val="00384A3F"/>
    <w:rsid w:val="00384EF7"/>
    <w:rsid w:val="00385E4E"/>
    <w:rsid w:val="00391A89"/>
    <w:rsid w:val="003A21F6"/>
    <w:rsid w:val="003A5945"/>
    <w:rsid w:val="003B0474"/>
    <w:rsid w:val="003B44E8"/>
    <w:rsid w:val="003C0C9F"/>
    <w:rsid w:val="003C59EC"/>
    <w:rsid w:val="003D1A96"/>
    <w:rsid w:val="003D2119"/>
    <w:rsid w:val="003E05C8"/>
    <w:rsid w:val="003E145C"/>
    <w:rsid w:val="003E27BF"/>
    <w:rsid w:val="003E6FE4"/>
    <w:rsid w:val="003F7558"/>
    <w:rsid w:val="004041F7"/>
    <w:rsid w:val="00404CC4"/>
    <w:rsid w:val="00405706"/>
    <w:rsid w:val="00414931"/>
    <w:rsid w:val="004161E4"/>
    <w:rsid w:val="00417041"/>
    <w:rsid w:val="0042200E"/>
    <w:rsid w:val="004237C9"/>
    <w:rsid w:val="0042447A"/>
    <w:rsid w:val="00427E4B"/>
    <w:rsid w:val="0043121C"/>
    <w:rsid w:val="00434628"/>
    <w:rsid w:val="00436009"/>
    <w:rsid w:val="00443769"/>
    <w:rsid w:val="00443A04"/>
    <w:rsid w:val="00444A9F"/>
    <w:rsid w:val="00452C9B"/>
    <w:rsid w:val="004561BF"/>
    <w:rsid w:val="004572B6"/>
    <w:rsid w:val="004713D6"/>
    <w:rsid w:val="00473837"/>
    <w:rsid w:val="0047424F"/>
    <w:rsid w:val="00475B26"/>
    <w:rsid w:val="00476B48"/>
    <w:rsid w:val="00485FA2"/>
    <w:rsid w:val="0049016F"/>
    <w:rsid w:val="004904E4"/>
    <w:rsid w:val="004947D9"/>
    <w:rsid w:val="0049661F"/>
    <w:rsid w:val="00496FA5"/>
    <w:rsid w:val="004974F2"/>
    <w:rsid w:val="004B3076"/>
    <w:rsid w:val="004B3789"/>
    <w:rsid w:val="004B513F"/>
    <w:rsid w:val="004B59EE"/>
    <w:rsid w:val="004B79CE"/>
    <w:rsid w:val="004C1141"/>
    <w:rsid w:val="004C25A2"/>
    <w:rsid w:val="004C60FF"/>
    <w:rsid w:val="004D01CC"/>
    <w:rsid w:val="004D2E4A"/>
    <w:rsid w:val="004E2870"/>
    <w:rsid w:val="004E3416"/>
    <w:rsid w:val="004E56FA"/>
    <w:rsid w:val="0050269B"/>
    <w:rsid w:val="0051450A"/>
    <w:rsid w:val="0052060D"/>
    <w:rsid w:val="00521A63"/>
    <w:rsid w:val="0053637C"/>
    <w:rsid w:val="00545739"/>
    <w:rsid w:val="00553C3E"/>
    <w:rsid w:val="00553EA2"/>
    <w:rsid w:val="00557FDB"/>
    <w:rsid w:val="00565072"/>
    <w:rsid w:val="005700B1"/>
    <w:rsid w:val="0057389A"/>
    <w:rsid w:val="00575196"/>
    <w:rsid w:val="0057737C"/>
    <w:rsid w:val="00582480"/>
    <w:rsid w:val="00585F0A"/>
    <w:rsid w:val="005950DC"/>
    <w:rsid w:val="00596CA5"/>
    <w:rsid w:val="005B33C4"/>
    <w:rsid w:val="005B6540"/>
    <w:rsid w:val="005B76C9"/>
    <w:rsid w:val="005C0B12"/>
    <w:rsid w:val="005C1DEA"/>
    <w:rsid w:val="005E148C"/>
    <w:rsid w:val="005F3F0A"/>
    <w:rsid w:val="00604EBC"/>
    <w:rsid w:val="00622052"/>
    <w:rsid w:val="00622842"/>
    <w:rsid w:val="00625D94"/>
    <w:rsid w:val="006261C3"/>
    <w:rsid w:val="006271D7"/>
    <w:rsid w:val="00642F7D"/>
    <w:rsid w:val="00644740"/>
    <w:rsid w:val="00650F68"/>
    <w:rsid w:val="00653CCD"/>
    <w:rsid w:val="00655625"/>
    <w:rsid w:val="00656901"/>
    <w:rsid w:val="0066016D"/>
    <w:rsid w:val="00675C7C"/>
    <w:rsid w:val="006766DF"/>
    <w:rsid w:val="006820BF"/>
    <w:rsid w:val="006A2779"/>
    <w:rsid w:val="006A6EA9"/>
    <w:rsid w:val="006B2D1A"/>
    <w:rsid w:val="006C00DB"/>
    <w:rsid w:val="006C43B6"/>
    <w:rsid w:val="006C6074"/>
    <w:rsid w:val="006C7565"/>
    <w:rsid w:val="006D0DD4"/>
    <w:rsid w:val="006D1AF3"/>
    <w:rsid w:val="006D5B07"/>
    <w:rsid w:val="006D7D9F"/>
    <w:rsid w:val="006E7430"/>
    <w:rsid w:val="006E7D5F"/>
    <w:rsid w:val="006F1EE7"/>
    <w:rsid w:val="006F4CB7"/>
    <w:rsid w:val="00706134"/>
    <w:rsid w:val="00710271"/>
    <w:rsid w:val="0071405C"/>
    <w:rsid w:val="00717757"/>
    <w:rsid w:val="00726170"/>
    <w:rsid w:val="00726318"/>
    <w:rsid w:val="007345DD"/>
    <w:rsid w:val="00736FBC"/>
    <w:rsid w:val="007408C8"/>
    <w:rsid w:val="0074212B"/>
    <w:rsid w:val="00743181"/>
    <w:rsid w:val="00747F45"/>
    <w:rsid w:val="007632F5"/>
    <w:rsid w:val="007641DE"/>
    <w:rsid w:val="00767AED"/>
    <w:rsid w:val="00767C73"/>
    <w:rsid w:val="00787514"/>
    <w:rsid w:val="00791758"/>
    <w:rsid w:val="00795311"/>
    <w:rsid w:val="007A3B77"/>
    <w:rsid w:val="007A68E2"/>
    <w:rsid w:val="007B20A7"/>
    <w:rsid w:val="007D1018"/>
    <w:rsid w:val="007D3BF8"/>
    <w:rsid w:val="007E0C7D"/>
    <w:rsid w:val="007E1174"/>
    <w:rsid w:val="007E176C"/>
    <w:rsid w:val="007E19E9"/>
    <w:rsid w:val="007E23C9"/>
    <w:rsid w:val="007F43FB"/>
    <w:rsid w:val="00800A9B"/>
    <w:rsid w:val="00801352"/>
    <w:rsid w:val="008019A7"/>
    <w:rsid w:val="00810A64"/>
    <w:rsid w:val="0081316B"/>
    <w:rsid w:val="00813E1E"/>
    <w:rsid w:val="00817664"/>
    <w:rsid w:val="00820DD6"/>
    <w:rsid w:val="00824F59"/>
    <w:rsid w:val="00826AF6"/>
    <w:rsid w:val="00832D23"/>
    <w:rsid w:val="00833171"/>
    <w:rsid w:val="008446C8"/>
    <w:rsid w:val="00850149"/>
    <w:rsid w:val="00863AF2"/>
    <w:rsid w:val="00866CF7"/>
    <w:rsid w:val="008707D0"/>
    <w:rsid w:val="00870C94"/>
    <w:rsid w:val="00871AD8"/>
    <w:rsid w:val="00873DE7"/>
    <w:rsid w:val="00877BFD"/>
    <w:rsid w:val="00883F3A"/>
    <w:rsid w:val="00891B78"/>
    <w:rsid w:val="00893140"/>
    <w:rsid w:val="00894564"/>
    <w:rsid w:val="008A4BD5"/>
    <w:rsid w:val="008B30A7"/>
    <w:rsid w:val="008B6D95"/>
    <w:rsid w:val="008C3D7C"/>
    <w:rsid w:val="008C438E"/>
    <w:rsid w:val="008D0950"/>
    <w:rsid w:val="008D1C48"/>
    <w:rsid w:val="008D2316"/>
    <w:rsid w:val="008D4C8C"/>
    <w:rsid w:val="008D690B"/>
    <w:rsid w:val="008E23B5"/>
    <w:rsid w:val="008E49A2"/>
    <w:rsid w:val="008E5FB8"/>
    <w:rsid w:val="008F46B7"/>
    <w:rsid w:val="008F5E8A"/>
    <w:rsid w:val="00902F3D"/>
    <w:rsid w:val="00907A21"/>
    <w:rsid w:val="00910AF8"/>
    <w:rsid w:val="009110BF"/>
    <w:rsid w:val="009116EC"/>
    <w:rsid w:val="00930726"/>
    <w:rsid w:val="00937595"/>
    <w:rsid w:val="0094185B"/>
    <w:rsid w:val="00953155"/>
    <w:rsid w:val="00953631"/>
    <w:rsid w:val="0096058C"/>
    <w:rsid w:val="009612E2"/>
    <w:rsid w:val="00962DF9"/>
    <w:rsid w:val="009730D6"/>
    <w:rsid w:val="00973DA1"/>
    <w:rsid w:val="00975A12"/>
    <w:rsid w:val="009775D7"/>
    <w:rsid w:val="00982173"/>
    <w:rsid w:val="00984808"/>
    <w:rsid w:val="00986337"/>
    <w:rsid w:val="009A066C"/>
    <w:rsid w:val="009A7F28"/>
    <w:rsid w:val="009B1344"/>
    <w:rsid w:val="009B1878"/>
    <w:rsid w:val="009B7F28"/>
    <w:rsid w:val="009C05CF"/>
    <w:rsid w:val="009C2C41"/>
    <w:rsid w:val="009C2EF6"/>
    <w:rsid w:val="009C4812"/>
    <w:rsid w:val="009D1E7C"/>
    <w:rsid w:val="009D50C4"/>
    <w:rsid w:val="009E10F6"/>
    <w:rsid w:val="009E646A"/>
    <w:rsid w:val="009F2919"/>
    <w:rsid w:val="009F4291"/>
    <w:rsid w:val="009F4576"/>
    <w:rsid w:val="009F52E6"/>
    <w:rsid w:val="00A10244"/>
    <w:rsid w:val="00A10738"/>
    <w:rsid w:val="00A13E45"/>
    <w:rsid w:val="00A22B2C"/>
    <w:rsid w:val="00A25ADC"/>
    <w:rsid w:val="00A322D0"/>
    <w:rsid w:val="00A34755"/>
    <w:rsid w:val="00A37767"/>
    <w:rsid w:val="00A50634"/>
    <w:rsid w:val="00A51315"/>
    <w:rsid w:val="00A527E5"/>
    <w:rsid w:val="00A5328F"/>
    <w:rsid w:val="00A623D4"/>
    <w:rsid w:val="00A64D15"/>
    <w:rsid w:val="00A64D65"/>
    <w:rsid w:val="00A653C9"/>
    <w:rsid w:val="00A702AC"/>
    <w:rsid w:val="00A7423C"/>
    <w:rsid w:val="00A746E3"/>
    <w:rsid w:val="00A8256E"/>
    <w:rsid w:val="00A8298C"/>
    <w:rsid w:val="00A97DD6"/>
    <w:rsid w:val="00AA0F1E"/>
    <w:rsid w:val="00AB6A8B"/>
    <w:rsid w:val="00AC5799"/>
    <w:rsid w:val="00AC7C25"/>
    <w:rsid w:val="00AD50B4"/>
    <w:rsid w:val="00AD5A2A"/>
    <w:rsid w:val="00AE22CB"/>
    <w:rsid w:val="00AF26D0"/>
    <w:rsid w:val="00AF3209"/>
    <w:rsid w:val="00AF56E9"/>
    <w:rsid w:val="00B02D95"/>
    <w:rsid w:val="00B03338"/>
    <w:rsid w:val="00B06014"/>
    <w:rsid w:val="00B27594"/>
    <w:rsid w:val="00B33111"/>
    <w:rsid w:val="00B57E9E"/>
    <w:rsid w:val="00B60729"/>
    <w:rsid w:val="00B70BE8"/>
    <w:rsid w:val="00B73D18"/>
    <w:rsid w:val="00B760D5"/>
    <w:rsid w:val="00B81518"/>
    <w:rsid w:val="00B90E5B"/>
    <w:rsid w:val="00B912CE"/>
    <w:rsid w:val="00B91F2C"/>
    <w:rsid w:val="00B92308"/>
    <w:rsid w:val="00B9342C"/>
    <w:rsid w:val="00B9429C"/>
    <w:rsid w:val="00BA21FD"/>
    <w:rsid w:val="00BA3583"/>
    <w:rsid w:val="00BB39B9"/>
    <w:rsid w:val="00BB5B10"/>
    <w:rsid w:val="00BB5B19"/>
    <w:rsid w:val="00BC3A41"/>
    <w:rsid w:val="00BC5C39"/>
    <w:rsid w:val="00BD1403"/>
    <w:rsid w:val="00BD1430"/>
    <w:rsid w:val="00BE1CE1"/>
    <w:rsid w:val="00BE4AB2"/>
    <w:rsid w:val="00BF4D7A"/>
    <w:rsid w:val="00C133F8"/>
    <w:rsid w:val="00C2006E"/>
    <w:rsid w:val="00C343CE"/>
    <w:rsid w:val="00C54A43"/>
    <w:rsid w:val="00C607FA"/>
    <w:rsid w:val="00C6245E"/>
    <w:rsid w:val="00C63D0B"/>
    <w:rsid w:val="00C64878"/>
    <w:rsid w:val="00C7572D"/>
    <w:rsid w:val="00C7663C"/>
    <w:rsid w:val="00C85E9C"/>
    <w:rsid w:val="00C907C4"/>
    <w:rsid w:val="00C92176"/>
    <w:rsid w:val="00CA4EB6"/>
    <w:rsid w:val="00CB7FA5"/>
    <w:rsid w:val="00CC3444"/>
    <w:rsid w:val="00CD31BB"/>
    <w:rsid w:val="00CD4296"/>
    <w:rsid w:val="00CD451D"/>
    <w:rsid w:val="00CD50B6"/>
    <w:rsid w:val="00CE5C10"/>
    <w:rsid w:val="00CF125F"/>
    <w:rsid w:val="00CF395D"/>
    <w:rsid w:val="00CF3E06"/>
    <w:rsid w:val="00CF3EDD"/>
    <w:rsid w:val="00D01975"/>
    <w:rsid w:val="00D044D6"/>
    <w:rsid w:val="00D1476C"/>
    <w:rsid w:val="00D14875"/>
    <w:rsid w:val="00D2186F"/>
    <w:rsid w:val="00D24163"/>
    <w:rsid w:val="00D24850"/>
    <w:rsid w:val="00D33BDB"/>
    <w:rsid w:val="00D349DF"/>
    <w:rsid w:val="00D46B88"/>
    <w:rsid w:val="00D53121"/>
    <w:rsid w:val="00D56F09"/>
    <w:rsid w:val="00D57CF5"/>
    <w:rsid w:val="00D60583"/>
    <w:rsid w:val="00D63594"/>
    <w:rsid w:val="00D77E2C"/>
    <w:rsid w:val="00D82EE5"/>
    <w:rsid w:val="00D86C9F"/>
    <w:rsid w:val="00DA411F"/>
    <w:rsid w:val="00DB7283"/>
    <w:rsid w:val="00DC0104"/>
    <w:rsid w:val="00DC1E85"/>
    <w:rsid w:val="00DC77C2"/>
    <w:rsid w:val="00DD3B2D"/>
    <w:rsid w:val="00DD4801"/>
    <w:rsid w:val="00DD70B6"/>
    <w:rsid w:val="00DE08C0"/>
    <w:rsid w:val="00DE2057"/>
    <w:rsid w:val="00DF2BF2"/>
    <w:rsid w:val="00E004A2"/>
    <w:rsid w:val="00E026D3"/>
    <w:rsid w:val="00E03EAC"/>
    <w:rsid w:val="00E062B0"/>
    <w:rsid w:val="00E13ECF"/>
    <w:rsid w:val="00E157ED"/>
    <w:rsid w:val="00E15E93"/>
    <w:rsid w:val="00E20462"/>
    <w:rsid w:val="00E213FF"/>
    <w:rsid w:val="00E309E3"/>
    <w:rsid w:val="00E36EBB"/>
    <w:rsid w:val="00E36F75"/>
    <w:rsid w:val="00E42D83"/>
    <w:rsid w:val="00E508D4"/>
    <w:rsid w:val="00E665B4"/>
    <w:rsid w:val="00E716A8"/>
    <w:rsid w:val="00E72003"/>
    <w:rsid w:val="00E74009"/>
    <w:rsid w:val="00E74095"/>
    <w:rsid w:val="00E819DC"/>
    <w:rsid w:val="00E850B9"/>
    <w:rsid w:val="00E924A8"/>
    <w:rsid w:val="00E95074"/>
    <w:rsid w:val="00E9685D"/>
    <w:rsid w:val="00EA1E7F"/>
    <w:rsid w:val="00EB29B0"/>
    <w:rsid w:val="00EC56A2"/>
    <w:rsid w:val="00EC6CFF"/>
    <w:rsid w:val="00EE5996"/>
    <w:rsid w:val="00EE5EBF"/>
    <w:rsid w:val="00EE61A0"/>
    <w:rsid w:val="00EF25B1"/>
    <w:rsid w:val="00EF5568"/>
    <w:rsid w:val="00EF5E2F"/>
    <w:rsid w:val="00EF7FC4"/>
    <w:rsid w:val="00F113CE"/>
    <w:rsid w:val="00F13A9F"/>
    <w:rsid w:val="00F14B7A"/>
    <w:rsid w:val="00F14C62"/>
    <w:rsid w:val="00F2768B"/>
    <w:rsid w:val="00F3059C"/>
    <w:rsid w:val="00F311B1"/>
    <w:rsid w:val="00F321CE"/>
    <w:rsid w:val="00F44007"/>
    <w:rsid w:val="00F47532"/>
    <w:rsid w:val="00F5263C"/>
    <w:rsid w:val="00F548B8"/>
    <w:rsid w:val="00F56983"/>
    <w:rsid w:val="00F61A5B"/>
    <w:rsid w:val="00F6578C"/>
    <w:rsid w:val="00F8388D"/>
    <w:rsid w:val="00F83CE6"/>
    <w:rsid w:val="00F86AA8"/>
    <w:rsid w:val="00F90113"/>
    <w:rsid w:val="00F9125F"/>
    <w:rsid w:val="00F94942"/>
    <w:rsid w:val="00F94A04"/>
    <w:rsid w:val="00F96AC3"/>
    <w:rsid w:val="00F97BA2"/>
    <w:rsid w:val="00FA0284"/>
    <w:rsid w:val="00FB2ED6"/>
    <w:rsid w:val="00FB594E"/>
    <w:rsid w:val="00FD198D"/>
    <w:rsid w:val="00FD1B04"/>
    <w:rsid w:val="00FD1DA0"/>
    <w:rsid w:val="00FE2781"/>
    <w:rsid w:val="00FE292F"/>
    <w:rsid w:val="00FE5C85"/>
    <w:rsid w:val="00FE7672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D3BF8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7D3BF8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BF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OC1">
    <w:name w:val="toc 1"/>
    <w:basedOn w:val="Normal"/>
    <w:next w:val="Normal"/>
    <w:autoRedefine/>
    <w:uiPriority w:val="39"/>
    <w:qFormat/>
    <w:rsid w:val="00FD1B04"/>
    <w:pPr>
      <w:tabs>
        <w:tab w:val="right" w:pos="9361"/>
        <w:tab w:val="right" w:leader="dot" w:pos="9926"/>
      </w:tabs>
      <w:spacing w:before="120"/>
    </w:pPr>
    <w:rPr>
      <w:smallCaps/>
      <w:noProof/>
      <w:sz w:val="26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D3BF8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7D3BF8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BF8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OC1">
    <w:name w:val="toc 1"/>
    <w:basedOn w:val="Normal"/>
    <w:next w:val="Normal"/>
    <w:autoRedefine/>
    <w:uiPriority w:val="39"/>
    <w:qFormat/>
    <w:rsid w:val="00FD1B04"/>
    <w:pPr>
      <w:tabs>
        <w:tab w:val="right" w:pos="9361"/>
        <w:tab w:val="right" w:leader="dot" w:pos="9926"/>
      </w:tabs>
      <w:spacing w:before="120"/>
    </w:pPr>
    <w:rPr>
      <w:smallCaps/>
      <w:noProof/>
      <w:sz w:val="26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Wat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Watt" TargetMode="External"/><Relationship Id="rId5" Type="http://schemas.openxmlformats.org/officeDocument/2006/relationships/hyperlink" Target="http://en.wikipedia.org/wiki/Wat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Aldis_Grekis</dc:creator>
  <cp:lastModifiedBy>Juris Bruveris</cp:lastModifiedBy>
  <cp:revision>2</cp:revision>
  <dcterms:created xsi:type="dcterms:W3CDTF">2016-06-13T11:41:00Z</dcterms:created>
  <dcterms:modified xsi:type="dcterms:W3CDTF">2016-06-13T11:41:00Z</dcterms:modified>
</cp:coreProperties>
</file>