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F6" w:rsidRDefault="00CC38F6" w:rsidP="00CC38F6">
      <w:pPr>
        <w:jc w:val="center"/>
        <w:rPr>
          <w:b/>
        </w:rPr>
      </w:pPr>
    </w:p>
    <w:p w:rsidR="00CC38F6" w:rsidRDefault="00CC38F6" w:rsidP="00CC38F6">
      <w:pPr>
        <w:jc w:val="center"/>
        <w:rPr>
          <w:b/>
        </w:rPr>
      </w:pPr>
    </w:p>
    <w:p w:rsidR="00CC38F6" w:rsidRPr="00CC38F6" w:rsidRDefault="00202802" w:rsidP="00CC38F6">
      <w:pPr>
        <w:jc w:val="center"/>
        <w:rPr>
          <w:b/>
          <w:bCs/>
        </w:rPr>
      </w:pPr>
      <w:r w:rsidRPr="00202802">
        <w:rPr>
          <w:b/>
        </w:rPr>
        <w:t>”</w:t>
      </w:r>
      <w:r w:rsidR="00CC38F6" w:rsidRPr="00CC38F6">
        <w:rPr>
          <w:b/>
          <w:bCs/>
        </w:rPr>
        <w:t>Jelgavas novada pašvaldības ēku demontāža, teritorijas labiekārtošana</w:t>
      </w:r>
    </w:p>
    <w:p w:rsidR="00071090" w:rsidRPr="00071090" w:rsidRDefault="00202802" w:rsidP="00F8016F">
      <w:pPr>
        <w:jc w:val="center"/>
        <w:rPr>
          <w:b/>
        </w:rPr>
      </w:pPr>
      <w:r w:rsidRPr="00202802">
        <w:rPr>
          <w:b/>
        </w:rPr>
        <w:t xml:space="preserve"> </w:t>
      </w:r>
      <w:r w:rsidR="00F8016F" w:rsidRPr="00F8016F">
        <w:rPr>
          <w:b/>
        </w:rPr>
        <w:t xml:space="preserve">(iepirkuma identifikācijas </w:t>
      </w:r>
      <w:proofErr w:type="spellStart"/>
      <w:r w:rsidR="00F8016F" w:rsidRPr="00F8016F">
        <w:rPr>
          <w:b/>
        </w:rPr>
        <w:t>Nr</w:t>
      </w:r>
      <w:proofErr w:type="spellEnd"/>
      <w:r w:rsidR="00F8016F" w:rsidRPr="00F8016F">
        <w:rPr>
          <w:b/>
        </w:rPr>
        <w:t xml:space="preserve"> ID Nr. JNP 2018/</w:t>
      </w:r>
      <w:r w:rsidR="00CC38F6">
        <w:rPr>
          <w:b/>
        </w:rPr>
        <w:t>33</w:t>
      </w:r>
      <w:r w:rsidR="00F8016F" w:rsidRPr="00F8016F">
        <w:rPr>
          <w:b/>
        </w:rPr>
        <w:t>)</w:t>
      </w:r>
    </w:p>
    <w:p w:rsidR="00CC38F6" w:rsidRDefault="00CC38F6" w:rsidP="00C03685">
      <w:pPr>
        <w:jc w:val="center"/>
        <w:rPr>
          <w:b/>
        </w:rPr>
      </w:pP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EB4BAD" w:rsidRDefault="00EB4BAD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CC38F6">
        <w:t>31.maijā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>- atklāts konkurss</w:t>
      </w:r>
      <w:r w:rsidRPr="00BC05BA">
        <w:t xml:space="preserve">, iepirkuma identifikācijas Nr. </w:t>
      </w:r>
      <w:r w:rsidR="00F8016F">
        <w:t>JNP 2018/</w:t>
      </w:r>
      <w:r w:rsidR="00CC38F6">
        <w:t>33</w:t>
      </w:r>
    </w:p>
    <w:p w:rsidR="002B36F0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A40690" w:rsidRPr="00A40690">
        <w:t xml:space="preserve"> būvdarbi „Jelgavas novada pašvaldības ēku demontāža, teritorijas labiekārtošana”.</w:t>
      </w:r>
    </w:p>
    <w:p w:rsidR="00A40690" w:rsidRPr="00EC4286" w:rsidRDefault="00A40690" w:rsidP="00A40690">
      <w:pPr>
        <w:pStyle w:val="Apakpunkts"/>
        <w:widowControl/>
        <w:tabs>
          <w:tab w:val="clear" w:pos="1080"/>
          <w:tab w:val="clear" w:pos="2160"/>
        </w:tabs>
        <w:spacing w:before="0" w:after="0"/>
        <w:ind w:left="0"/>
        <w:jc w:val="left"/>
        <w:outlineLvl w:val="9"/>
      </w:pPr>
      <w:r w:rsidRPr="00EC4286">
        <w:t>Iepirkums ir sadalīts daļās:</w:t>
      </w:r>
    </w:p>
    <w:p w:rsidR="00A40690" w:rsidRPr="00A40690" w:rsidRDefault="00A40690" w:rsidP="00A40690">
      <w:pPr>
        <w:pStyle w:val="Punkts"/>
        <w:tabs>
          <w:tab w:val="clear" w:pos="851"/>
        </w:tabs>
        <w:ind w:left="0" w:firstLine="0"/>
        <w:rPr>
          <w:rFonts w:ascii="Times New Roman" w:hAnsi="Times New Roman"/>
          <w:b w:val="0"/>
          <w:sz w:val="24"/>
        </w:rPr>
      </w:pPr>
      <w:r w:rsidRPr="008400B1">
        <w:rPr>
          <w:rFonts w:ascii="Times New Roman" w:hAnsi="Times New Roman"/>
          <w:b w:val="0"/>
          <w:sz w:val="24"/>
        </w:rPr>
        <w:t>1.daļa</w:t>
      </w:r>
      <w:r w:rsidRPr="00A40690">
        <w:rPr>
          <w:rFonts w:ascii="Times New Roman" w:hAnsi="Times New Roman"/>
          <w:b w:val="0"/>
          <w:sz w:val="24"/>
        </w:rPr>
        <w:t>-“Ķieģeļu ražotnes cepļu un saimniecības ēku demontāža”, Kalnciems, Kalnciema pagasts, Jelgavas novads.</w:t>
      </w:r>
    </w:p>
    <w:p w:rsidR="00A40690" w:rsidRPr="00A40690" w:rsidRDefault="00A40690" w:rsidP="00A40690">
      <w:pPr>
        <w:pStyle w:val="Punkts"/>
        <w:tabs>
          <w:tab w:val="clear" w:pos="851"/>
        </w:tabs>
        <w:ind w:left="0" w:firstLine="0"/>
        <w:rPr>
          <w:rFonts w:ascii="Times New Roman" w:hAnsi="Times New Roman"/>
          <w:b w:val="0"/>
          <w:sz w:val="24"/>
        </w:rPr>
      </w:pPr>
      <w:r w:rsidRPr="00A40690">
        <w:rPr>
          <w:rFonts w:ascii="Times New Roman" w:hAnsi="Times New Roman"/>
          <w:b w:val="0"/>
          <w:sz w:val="24"/>
        </w:rPr>
        <w:t>2.daļa-“Dzērves”, Platones pagasts, Jelgavas novads.</w:t>
      </w:r>
    </w:p>
    <w:p w:rsidR="00A40690" w:rsidRPr="00A40690" w:rsidRDefault="00A40690" w:rsidP="00A40690">
      <w:pPr>
        <w:pStyle w:val="Punkts"/>
        <w:tabs>
          <w:tab w:val="clear" w:pos="851"/>
        </w:tabs>
        <w:ind w:left="0" w:firstLine="0"/>
        <w:rPr>
          <w:rFonts w:ascii="Times New Roman" w:hAnsi="Times New Roman"/>
          <w:b w:val="0"/>
          <w:sz w:val="24"/>
        </w:rPr>
      </w:pPr>
      <w:r w:rsidRPr="00A40690">
        <w:rPr>
          <w:rFonts w:ascii="Times New Roman" w:hAnsi="Times New Roman"/>
          <w:b w:val="0"/>
          <w:sz w:val="24"/>
        </w:rPr>
        <w:t>3.daļa-“Ērgļu iela 4”, Vītoliņi, Valgundes pagasts, Jelgavas novads.</w:t>
      </w:r>
    </w:p>
    <w:p w:rsidR="00A40690" w:rsidRPr="00A40690" w:rsidRDefault="00A40690" w:rsidP="00A40690">
      <w:pPr>
        <w:pStyle w:val="Punkts"/>
        <w:tabs>
          <w:tab w:val="clear" w:pos="851"/>
        </w:tabs>
        <w:ind w:left="0" w:firstLine="0"/>
        <w:rPr>
          <w:rFonts w:ascii="Times New Roman" w:hAnsi="Times New Roman"/>
          <w:b w:val="0"/>
          <w:sz w:val="24"/>
        </w:rPr>
      </w:pPr>
      <w:r w:rsidRPr="00A40690">
        <w:rPr>
          <w:rFonts w:ascii="Times New Roman" w:hAnsi="Times New Roman"/>
          <w:b w:val="0"/>
          <w:sz w:val="24"/>
        </w:rPr>
        <w:t>4.daļa-“Lielkārniņi”, Kārniņi, Jaunsvirlaukas pagasts, Jelgavas novads.</w:t>
      </w:r>
    </w:p>
    <w:p w:rsidR="00A40690" w:rsidRPr="00A40690" w:rsidRDefault="00A40690" w:rsidP="00A40690">
      <w:pPr>
        <w:pStyle w:val="Punkts"/>
        <w:tabs>
          <w:tab w:val="clear" w:pos="851"/>
        </w:tabs>
        <w:ind w:left="0" w:firstLine="0"/>
        <w:rPr>
          <w:rFonts w:ascii="Times New Roman" w:hAnsi="Times New Roman"/>
          <w:b w:val="0"/>
          <w:sz w:val="24"/>
        </w:rPr>
      </w:pPr>
      <w:r w:rsidRPr="00A40690">
        <w:rPr>
          <w:rFonts w:ascii="Times New Roman" w:hAnsi="Times New Roman"/>
          <w:b w:val="0"/>
          <w:sz w:val="24"/>
        </w:rPr>
        <w:t>5.daļa-“Skolas iela 10A, 10B”, Nākotne, Glūdas pagasts, Jelgavas novads.</w:t>
      </w:r>
    </w:p>
    <w:p w:rsidR="00A40690" w:rsidRDefault="00A40690" w:rsidP="001F585D">
      <w:pPr>
        <w:jc w:val="both"/>
        <w:rPr>
          <w:b/>
          <w:u w:val="single"/>
        </w:rPr>
      </w:pP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8016F">
        <w:t>-</w:t>
      </w:r>
      <w:r w:rsidR="0056702A">
        <w:t>14</w:t>
      </w:r>
      <w:r w:rsidR="00E72DB5">
        <w:t>.</w:t>
      </w:r>
      <w:r w:rsidR="00F8016F">
        <w:t>0</w:t>
      </w:r>
      <w:r w:rsidR="0056702A">
        <w:t>5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C6087" w:rsidRPr="003E211D" w:rsidRDefault="001C6087" w:rsidP="001C6087">
      <w:pPr>
        <w:jc w:val="both"/>
        <w:rPr>
          <w:color w:val="000000" w:themeColor="text1"/>
        </w:rPr>
      </w:pPr>
      <w:r>
        <w:t xml:space="preserve">Pastāvīgā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>,</w:t>
      </w:r>
      <w:r w:rsidRPr="008C24BA">
        <w:rPr>
          <w:color w:val="000000"/>
        </w:rPr>
        <w:t xml:space="preserve"> 27.07.2016. sēdes lēmumu Nr. 10 28§</w:t>
      </w:r>
      <w:r>
        <w:rPr>
          <w:color w:val="000000"/>
        </w:rPr>
        <w:t xml:space="preserve"> un 25</w:t>
      </w:r>
      <w:r>
        <w:rPr>
          <w:color w:val="FF0000"/>
        </w:rPr>
        <w:t>.</w:t>
      </w:r>
      <w:r>
        <w:rPr>
          <w:color w:val="000000" w:themeColor="text1"/>
        </w:rPr>
        <w:t xml:space="preserve">04.2018. sēdes lēmumu Nr. 5 </w:t>
      </w:r>
      <w:r w:rsidRPr="003E211D">
        <w:rPr>
          <w:color w:val="000000" w:themeColor="text1"/>
        </w:rPr>
        <w:t>20§:</w:t>
      </w:r>
    </w:p>
    <w:p w:rsidR="001C6087" w:rsidRPr="00354304" w:rsidRDefault="001C6087" w:rsidP="001C608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1C6087" w:rsidRDefault="001C6087" w:rsidP="001C608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C6087" w:rsidRPr="005D2AC3" w:rsidRDefault="001C6087" w:rsidP="001C6087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1C6087" w:rsidRPr="005D2AC3" w:rsidRDefault="001C6087" w:rsidP="001C6087">
      <w:pPr>
        <w:jc w:val="both"/>
      </w:pPr>
      <w:r>
        <w:rPr>
          <w:rStyle w:val="CaptionChar"/>
        </w:rPr>
        <w:t xml:space="preserve">Valdis </w:t>
      </w:r>
      <w:proofErr w:type="spellStart"/>
      <w:r>
        <w:rPr>
          <w:rStyle w:val="CaptionChar"/>
        </w:rPr>
        <w:t>Buividaitis-</w:t>
      </w:r>
      <w:proofErr w:type="spellEnd"/>
      <w:r>
        <w:t xml:space="preserve"> </w:t>
      </w:r>
      <w:r w:rsidRPr="00053002">
        <w:t>Jelgavas novada</w:t>
      </w:r>
      <w:r w:rsidRPr="00053002">
        <w:rPr>
          <w:rStyle w:val="CaptionChar"/>
        </w:rPr>
        <w:t xml:space="preserve"> </w:t>
      </w:r>
      <w:r w:rsidRPr="00053002">
        <w:rPr>
          <w:rFonts w:eastAsia="Arial Unicode MS"/>
        </w:rPr>
        <w:t xml:space="preserve">pašvaldības </w:t>
      </w:r>
      <w:r>
        <w:rPr>
          <w:rFonts w:eastAsia="Arial Unicode MS"/>
        </w:rPr>
        <w:t>i</w:t>
      </w:r>
      <w:r w:rsidRPr="00B15FD1">
        <w:rPr>
          <w:rFonts w:eastAsia="Arial Unicode MS"/>
        </w:rPr>
        <w:t>zpilddirektores</w:t>
      </w:r>
      <w:r w:rsidRPr="00B15FD1">
        <w:t xml:space="preserve"> vietnieks</w:t>
      </w:r>
      <w:r w:rsidRPr="00596922">
        <w:t>;</w:t>
      </w:r>
    </w:p>
    <w:p w:rsidR="001C6087" w:rsidRDefault="001C6087" w:rsidP="001C6087">
      <w:pPr>
        <w:jc w:val="both"/>
      </w:pPr>
      <w:r>
        <w:rPr>
          <w:rStyle w:val="CaptionChar"/>
        </w:rPr>
        <w:t xml:space="preserve">Inese </w:t>
      </w:r>
      <w:proofErr w:type="spellStart"/>
      <w:r>
        <w:rPr>
          <w:rStyle w:val="CaptionChar"/>
        </w:rPr>
        <w:t>Tarvida</w:t>
      </w:r>
      <w:r w:rsidRPr="00C66271">
        <w:rPr>
          <w:rStyle w:val="CaptionChar"/>
        </w:rPr>
        <w:t>-</w:t>
      </w:r>
      <w:proofErr w:type="spellEnd"/>
      <w:r w:rsidRPr="00C66271">
        <w:t xml:space="preserve"> Jelgavas novada pašvaldības</w:t>
      </w:r>
      <w:r>
        <w:t xml:space="preserve"> </w:t>
      </w:r>
      <w:r w:rsidRPr="0033616C">
        <w:t>policijas priekšniece</w:t>
      </w:r>
      <w:r>
        <w:t>;</w:t>
      </w:r>
    </w:p>
    <w:p w:rsidR="001C6087" w:rsidRPr="0033616C" w:rsidRDefault="001C6087" w:rsidP="001C6087">
      <w:pPr>
        <w:pStyle w:val="NoSpacing"/>
        <w:rPr>
          <w:lang w:val="lv-LV"/>
        </w:rPr>
      </w:pPr>
      <w:r w:rsidRPr="0033616C">
        <w:rPr>
          <w:rStyle w:val="CaptionChar"/>
          <w:lang w:val="lv-LV"/>
        </w:rPr>
        <w:t xml:space="preserve">Beāta </w:t>
      </w:r>
      <w:proofErr w:type="spellStart"/>
      <w:r w:rsidRPr="0033616C">
        <w:rPr>
          <w:rStyle w:val="CaptionChar"/>
          <w:lang w:val="lv-LV"/>
        </w:rPr>
        <w:t>Cirmane</w:t>
      </w:r>
      <w:r w:rsidRPr="0033616C">
        <w:rPr>
          <w:lang w:val="lv-LV"/>
        </w:rPr>
        <w:t>-</w:t>
      </w:r>
      <w:proofErr w:type="spellEnd"/>
      <w:r w:rsidRPr="0033616C">
        <w:rPr>
          <w:lang w:val="lv-LV"/>
        </w:rPr>
        <w:t xml:space="preserve"> Jelgavas novada pašvaldības Fina</w:t>
      </w:r>
      <w:r>
        <w:rPr>
          <w:lang w:val="lv-LV"/>
        </w:rP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C6087" w:rsidRPr="0033616C" w:rsidTr="00447AC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C6087" w:rsidRPr="005D2AC3" w:rsidRDefault="001C6087" w:rsidP="00447AC1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>
              <w:rPr>
                <w:i/>
                <w:iCs/>
              </w:rPr>
              <w:t xml:space="preserve">Kristīne </w:t>
            </w:r>
            <w:proofErr w:type="spellStart"/>
            <w:r>
              <w:rPr>
                <w:i/>
                <w:iCs/>
              </w:rPr>
              <w:t>Akone</w:t>
            </w:r>
            <w:proofErr w:type="spellEnd"/>
          </w:p>
          <w:p w:rsidR="001C6087" w:rsidRPr="005D2AC3" w:rsidRDefault="001C6087" w:rsidP="00447AC1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5205D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4681E">
              <w:t xml:space="preserve"> </w:t>
            </w:r>
            <w:r w:rsidR="0025205D" w:rsidRPr="0025205D">
              <w:t>Juris Brūveris - Jelgavas novada pašvaldības Attīstības nodaļas būvinženieris.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5A4FAE">
        <w:t>zemākā cena</w:t>
      </w:r>
      <w:r w:rsidR="00431BE6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1A743C">
        <w:t>28.maijā</w:t>
      </w:r>
    </w:p>
    <w:tbl>
      <w:tblPr>
        <w:tblpPr w:leftFromText="180" w:rightFromText="180" w:horzAnchor="margin" w:tblpX="-601" w:tblpY="1125"/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134"/>
        <w:gridCol w:w="1276"/>
        <w:gridCol w:w="1134"/>
        <w:gridCol w:w="1417"/>
        <w:gridCol w:w="1663"/>
      </w:tblGrid>
      <w:tr w:rsidR="001A743C" w:rsidRPr="00D22702" w:rsidTr="001A743C">
        <w:trPr>
          <w:trHeight w:val="575"/>
        </w:trPr>
        <w:tc>
          <w:tcPr>
            <w:tcW w:w="675" w:type="dxa"/>
            <w:vMerge w:val="restart"/>
            <w:shd w:val="clear" w:color="auto" w:fill="auto"/>
          </w:tcPr>
          <w:p w:rsidR="001A743C" w:rsidRPr="00D22702" w:rsidRDefault="001A743C" w:rsidP="001A743C">
            <w:pPr>
              <w:rPr>
                <w:b/>
                <w:sz w:val="18"/>
                <w:szCs w:val="18"/>
              </w:rPr>
            </w:pPr>
            <w:proofErr w:type="spellStart"/>
            <w:r w:rsidRPr="00D22702">
              <w:rPr>
                <w:sz w:val="18"/>
                <w:szCs w:val="18"/>
              </w:rPr>
              <w:lastRenderedPageBreak/>
              <w:t>N.p.k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1A743C" w:rsidRPr="00D22702" w:rsidRDefault="001A743C" w:rsidP="001A743C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743C" w:rsidRDefault="001A743C" w:rsidP="001A7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Pied.</w:t>
            </w:r>
          </w:p>
          <w:p w:rsidR="001A743C" w:rsidRPr="00D22702" w:rsidRDefault="001A743C" w:rsidP="001A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iesn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22702">
              <w:rPr>
                <w:sz w:val="18"/>
                <w:szCs w:val="18"/>
              </w:rPr>
              <w:t xml:space="preserve"> datums un laiks</w:t>
            </w:r>
          </w:p>
        </w:tc>
        <w:tc>
          <w:tcPr>
            <w:tcW w:w="6624" w:type="dxa"/>
            <w:gridSpan w:val="5"/>
          </w:tcPr>
          <w:p w:rsidR="001A743C" w:rsidRPr="001A743C" w:rsidRDefault="001A743C" w:rsidP="001A743C">
            <w:pPr>
              <w:jc w:val="center"/>
              <w:rPr>
                <w:bCs/>
                <w:sz w:val="20"/>
                <w:szCs w:val="20"/>
              </w:rPr>
            </w:pPr>
            <w:r w:rsidRPr="001A743C">
              <w:rPr>
                <w:bCs/>
                <w:sz w:val="20"/>
                <w:szCs w:val="20"/>
              </w:rPr>
              <w:t>Cena bez PVN</w:t>
            </w:r>
          </w:p>
        </w:tc>
      </w:tr>
      <w:tr w:rsidR="001A743C" w:rsidRPr="00D22702" w:rsidTr="001A743C">
        <w:trPr>
          <w:trHeight w:val="1434"/>
        </w:trPr>
        <w:tc>
          <w:tcPr>
            <w:tcW w:w="675" w:type="dxa"/>
            <w:vMerge/>
            <w:shd w:val="clear" w:color="auto" w:fill="auto"/>
          </w:tcPr>
          <w:p w:rsidR="001A743C" w:rsidRPr="00D22702" w:rsidRDefault="001A743C" w:rsidP="001A743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743C" w:rsidRPr="00D22702" w:rsidRDefault="001A743C" w:rsidP="001A74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743C" w:rsidRPr="00D22702" w:rsidRDefault="001A743C" w:rsidP="001A74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1.daļa 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2.daļa 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3.daļa </w:t>
            </w:r>
          </w:p>
        </w:tc>
        <w:tc>
          <w:tcPr>
            <w:tcW w:w="1417" w:type="dxa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4.daļa </w:t>
            </w:r>
          </w:p>
        </w:tc>
        <w:tc>
          <w:tcPr>
            <w:tcW w:w="1663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5.daļa </w:t>
            </w:r>
          </w:p>
        </w:tc>
      </w:tr>
      <w:tr w:rsidR="001A743C" w:rsidRPr="00AA0AED" w:rsidTr="001A743C">
        <w:trPr>
          <w:trHeight w:val="259"/>
        </w:trPr>
        <w:tc>
          <w:tcPr>
            <w:tcW w:w="675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A743C" w:rsidRPr="001A743C" w:rsidRDefault="001A743C" w:rsidP="001A743C">
            <w:pPr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SIA “</w:t>
            </w:r>
            <w:proofErr w:type="spellStart"/>
            <w:r w:rsidRPr="001A743C">
              <w:rPr>
                <w:sz w:val="20"/>
                <w:szCs w:val="20"/>
              </w:rPr>
              <w:t>Prima</w:t>
            </w:r>
            <w:proofErr w:type="spellEnd"/>
            <w:r w:rsidRPr="001A743C">
              <w:rPr>
                <w:sz w:val="20"/>
                <w:szCs w:val="20"/>
              </w:rPr>
              <w:t xml:space="preserve"> </w:t>
            </w:r>
            <w:proofErr w:type="spellStart"/>
            <w:r w:rsidRPr="001A743C">
              <w:rPr>
                <w:sz w:val="20"/>
                <w:szCs w:val="20"/>
              </w:rPr>
              <w:t>Pick</w:t>
            </w:r>
            <w:proofErr w:type="spellEnd"/>
            <w:r w:rsidRPr="001A743C">
              <w:rPr>
                <w:sz w:val="20"/>
                <w:szCs w:val="20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23.05.2018</w:t>
            </w:r>
          </w:p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8</w:t>
            </w:r>
            <w:proofErr w:type="gramStart"/>
            <w:r w:rsidRPr="001A743C">
              <w:rPr>
                <w:sz w:val="20"/>
                <w:szCs w:val="20"/>
              </w:rPr>
              <w:t xml:space="preserve"> :5</w:t>
            </w:r>
            <w:proofErr w:type="gramEnd"/>
            <w:r w:rsidRPr="001A743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9900.00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4201.45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10999.90</w:t>
            </w:r>
          </w:p>
        </w:tc>
        <w:tc>
          <w:tcPr>
            <w:tcW w:w="1417" w:type="dxa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4899.20</w:t>
            </w:r>
          </w:p>
        </w:tc>
        <w:tc>
          <w:tcPr>
            <w:tcW w:w="1663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6400.00</w:t>
            </w:r>
          </w:p>
        </w:tc>
      </w:tr>
      <w:tr w:rsidR="001A743C" w:rsidRPr="00AA0AED" w:rsidTr="001A743C">
        <w:trPr>
          <w:trHeight w:val="259"/>
        </w:trPr>
        <w:tc>
          <w:tcPr>
            <w:tcW w:w="675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A743C" w:rsidRPr="001A743C" w:rsidRDefault="001A743C" w:rsidP="001A743C">
            <w:pPr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SIA “</w:t>
            </w:r>
            <w:proofErr w:type="spellStart"/>
            <w:r w:rsidRPr="001A743C">
              <w:rPr>
                <w:sz w:val="20"/>
                <w:szCs w:val="20"/>
              </w:rPr>
              <w:t>Cascade</w:t>
            </w:r>
            <w:proofErr w:type="spellEnd"/>
            <w:r w:rsidRPr="001A743C">
              <w:rPr>
                <w:sz w:val="20"/>
                <w:szCs w:val="20"/>
              </w:rPr>
              <w:t xml:space="preserve"> </w:t>
            </w:r>
            <w:proofErr w:type="spellStart"/>
            <w:r w:rsidRPr="001A743C">
              <w:rPr>
                <w:sz w:val="20"/>
                <w:szCs w:val="20"/>
              </w:rPr>
              <w:t>mining</w:t>
            </w:r>
            <w:proofErr w:type="spellEnd"/>
            <w:r w:rsidRPr="001A743C">
              <w:rPr>
                <w:sz w:val="20"/>
                <w:szCs w:val="20"/>
              </w:rPr>
              <w:t xml:space="preserve">” 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28.05.2018</w:t>
            </w:r>
          </w:p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9:01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20393.00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4323.71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7738.83</w:t>
            </w:r>
          </w:p>
        </w:tc>
        <w:tc>
          <w:tcPr>
            <w:tcW w:w="1417" w:type="dxa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4027.56</w:t>
            </w:r>
          </w:p>
        </w:tc>
        <w:tc>
          <w:tcPr>
            <w:tcW w:w="1663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7913.10</w:t>
            </w:r>
          </w:p>
        </w:tc>
      </w:tr>
      <w:tr w:rsidR="001A743C" w:rsidRPr="00AA0AED" w:rsidTr="001A743C">
        <w:trPr>
          <w:trHeight w:val="259"/>
        </w:trPr>
        <w:tc>
          <w:tcPr>
            <w:tcW w:w="675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A743C" w:rsidRPr="001A743C" w:rsidRDefault="001A743C" w:rsidP="001A743C">
            <w:pPr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Ārvalstu komersanta OU </w:t>
            </w:r>
            <w:proofErr w:type="spellStart"/>
            <w:r w:rsidRPr="001A743C">
              <w:rPr>
                <w:sz w:val="20"/>
                <w:szCs w:val="20"/>
              </w:rPr>
              <w:t>Fixdem</w:t>
            </w:r>
            <w:proofErr w:type="spellEnd"/>
            <w:r w:rsidRPr="001A743C">
              <w:rPr>
                <w:sz w:val="20"/>
                <w:szCs w:val="20"/>
              </w:rPr>
              <w:t xml:space="preserve"> </w:t>
            </w:r>
            <w:proofErr w:type="spellStart"/>
            <w:r w:rsidRPr="001A743C">
              <w:rPr>
                <w:sz w:val="20"/>
                <w:szCs w:val="20"/>
              </w:rPr>
              <w:t>Eesti</w:t>
            </w:r>
            <w:proofErr w:type="spellEnd"/>
            <w:r w:rsidRPr="001A743C">
              <w:rPr>
                <w:sz w:val="20"/>
                <w:szCs w:val="20"/>
              </w:rPr>
              <w:t xml:space="preserve"> filiāle Latvijā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28.05.2018</w:t>
            </w:r>
          </w:p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9:05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9968.57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4229.70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9854.15</w:t>
            </w:r>
          </w:p>
        </w:tc>
        <w:tc>
          <w:tcPr>
            <w:tcW w:w="1417" w:type="dxa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4938.90</w:t>
            </w:r>
          </w:p>
        </w:tc>
        <w:tc>
          <w:tcPr>
            <w:tcW w:w="1663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7763.89</w:t>
            </w:r>
          </w:p>
        </w:tc>
      </w:tr>
      <w:tr w:rsidR="001A743C" w:rsidTr="001A743C">
        <w:trPr>
          <w:trHeight w:val="259"/>
        </w:trPr>
        <w:tc>
          <w:tcPr>
            <w:tcW w:w="675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843" w:type="dxa"/>
            <w:shd w:val="clear" w:color="auto" w:fill="auto"/>
          </w:tcPr>
          <w:p w:rsidR="001A743C" w:rsidRPr="001A743C" w:rsidRDefault="001A743C" w:rsidP="001A743C">
            <w:pPr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SIA “E Būvniecība”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28.05.2018</w:t>
            </w:r>
          </w:p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9:35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13499.49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6799.50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11112.20</w:t>
            </w:r>
          </w:p>
        </w:tc>
        <w:tc>
          <w:tcPr>
            <w:tcW w:w="1417" w:type="dxa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5954.54</w:t>
            </w:r>
          </w:p>
        </w:tc>
        <w:tc>
          <w:tcPr>
            <w:tcW w:w="1663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9755.77</w:t>
            </w:r>
          </w:p>
        </w:tc>
      </w:tr>
      <w:tr w:rsidR="001A743C" w:rsidRPr="00873242" w:rsidTr="001A743C">
        <w:trPr>
          <w:trHeight w:val="259"/>
        </w:trPr>
        <w:tc>
          <w:tcPr>
            <w:tcW w:w="675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A743C" w:rsidRPr="001A743C" w:rsidRDefault="001A743C" w:rsidP="001A743C">
            <w:pPr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 xml:space="preserve">SIA “401 </w:t>
            </w:r>
            <w:proofErr w:type="spellStart"/>
            <w:r w:rsidRPr="001A743C">
              <w:rPr>
                <w:sz w:val="20"/>
                <w:szCs w:val="20"/>
              </w:rPr>
              <w:t>Logistic</w:t>
            </w:r>
            <w:proofErr w:type="spellEnd"/>
            <w:r w:rsidRPr="001A743C">
              <w:rPr>
                <w:sz w:val="20"/>
                <w:szCs w:val="20"/>
              </w:rPr>
              <w:t xml:space="preserve">” 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28.05.2018</w:t>
            </w:r>
          </w:p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9:56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12508.02</w:t>
            </w:r>
          </w:p>
        </w:tc>
        <w:tc>
          <w:tcPr>
            <w:tcW w:w="1276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4640.60</w:t>
            </w:r>
          </w:p>
        </w:tc>
        <w:tc>
          <w:tcPr>
            <w:tcW w:w="1134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11457.22</w:t>
            </w:r>
          </w:p>
        </w:tc>
        <w:tc>
          <w:tcPr>
            <w:tcW w:w="1417" w:type="dxa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4456.57</w:t>
            </w:r>
          </w:p>
        </w:tc>
        <w:tc>
          <w:tcPr>
            <w:tcW w:w="1663" w:type="dxa"/>
            <w:shd w:val="clear" w:color="auto" w:fill="auto"/>
          </w:tcPr>
          <w:p w:rsidR="001A743C" w:rsidRPr="001A743C" w:rsidRDefault="001A743C" w:rsidP="001A743C">
            <w:pPr>
              <w:jc w:val="center"/>
              <w:rPr>
                <w:sz w:val="20"/>
                <w:szCs w:val="20"/>
              </w:rPr>
            </w:pPr>
            <w:r w:rsidRPr="001A743C">
              <w:rPr>
                <w:sz w:val="20"/>
                <w:szCs w:val="20"/>
              </w:rPr>
              <w:t>6416.59</w:t>
            </w:r>
          </w:p>
        </w:tc>
      </w:tr>
    </w:tbl>
    <w:p w:rsidR="00D74B05" w:rsidRDefault="00D74B05" w:rsidP="00E4681E">
      <w:pPr>
        <w:jc w:val="both"/>
      </w:pPr>
    </w:p>
    <w:p w:rsidR="001A743C" w:rsidRDefault="001A743C" w:rsidP="00E4681E">
      <w:pPr>
        <w:jc w:val="both"/>
      </w:pPr>
    </w:p>
    <w:p w:rsidR="001A743C" w:rsidRDefault="001A743C" w:rsidP="00E4681E">
      <w:pPr>
        <w:jc w:val="both"/>
      </w:pPr>
    </w:p>
    <w:p w:rsidR="001A743C" w:rsidRDefault="001A743C" w:rsidP="00E4681E">
      <w:pPr>
        <w:jc w:val="both"/>
      </w:pPr>
    </w:p>
    <w:p w:rsidR="001A743C" w:rsidRDefault="001A743C" w:rsidP="00E4681E">
      <w:pPr>
        <w:jc w:val="both"/>
      </w:pPr>
    </w:p>
    <w:p w:rsidR="001A743C" w:rsidRPr="008400B1" w:rsidRDefault="008400B1" w:rsidP="00E4681E">
      <w:pPr>
        <w:jc w:val="both"/>
        <w:rPr>
          <w:b/>
        </w:rPr>
      </w:pPr>
      <w:r w:rsidRPr="008400B1">
        <w:rPr>
          <w:b/>
        </w:rPr>
        <w:t>1.daļa-“Ķieģeļu ražotnes cepļu un saimniecības ēku demontāža”, Kalnciems, Kal</w:t>
      </w:r>
      <w:r>
        <w:rPr>
          <w:b/>
        </w:rPr>
        <w:t>nciema pagasts, Jelgavas novads</w:t>
      </w:r>
    </w:p>
    <w:p w:rsidR="001A743C" w:rsidRDefault="00491453" w:rsidP="00E4681E">
      <w:pPr>
        <w:jc w:val="both"/>
      </w:pPr>
      <w:r w:rsidRPr="00491453">
        <w:t>Atvēršanas protokolā pretendenta SIA “</w:t>
      </w:r>
      <w:proofErr w:type="spellStart"/>
      <w:r w:rsidRPr="00491453">
        <w:t>Prima</w:t>
      </w:r>
      <w:proofErr w:type="spellEnd"/>
      <w:r w:rsidRPr="00491453">
        <w:t xml:space="preserve"> </w:t>
      </w:r>
      <w:proofErr w:type="spellStart"/>
      <w:r w:rsidRPr="00491453">
        <w:t>Pick</w:t>
      </w:r>
      <w:proofErr w:type="spellEnd"/>
      <w:r w:rsidRPr="00491453">
        <w:t>” piedāvātā cena bez PVN iepirkuma 1.daļai tika nosaukta no pretendenta finanšu piedāvājuma kopsavilkuma. Vērtēšanas procesā, izskatot pretendenta lokālo tāmi, iepirkuma komisija konstatē, ka pretendents SIA “</w:t>
      </w:r>
      <w:proofErr w:type="spellStart"/>
      <w:r w:rsidRPr="00491453">
        <w:t>Prima</w:t>
      </w:r>
      <w:proofErr w:type="spellEnd"/>
      <w:r w:rsidRPr="00491453">
        <w:t xml:space="preserve"> </w:t>
      </w:r>
      <w:proofErr w:type="spellStart"/>
      <w:r w:rsidRPr="00491453">
        <w:t>Pick</w:t>
      </w:r>
      <w:proofErr w:type="spellEnd"/>
      <w:r w:rsidRPr="00491453">
        <w:t xml:space="preserve">” finanšu piedāvājuma kopsavilkumā norādījis tiešās izmaksas kopā, neiekļaujot </w:t>
      </w:r>
      <w:proofErr w:type="spellStart"/>
      <w:r w:rsidRPr="00491453">
        <w:t>virsizdevumus</w:t>
      </w:r>
      <w:proofErr w:type="spellEnd"/>
      <w:r w:rsidRPr="00491453">
        <w:t xml:space="preserve"> un peļņu. Iepirkuma komisija, saskaitot tiešās izmaksas, </w:t>
      </w:r>
      <w:proofErr w:type="spellStart"/>
      <w:r w:rsidRPr="00491453">
        <w:t>virsizdevumus</w:t>
      </w:r>
      <w:proofErr w:type="spellEnd"/>
      <w:r w:rsidRPr="00491453">
        <w:t xml:space="preserve"> un peļņu, nosauc cenu kopā bez PVN 1.daļai – EUR 11088.</w:t>
      </w:r>
    </w:p>
    <w:p w:rsidR="00AC67A4" w:rsidRPr="00694257" w:rsidRDefault="00AC67A4" w:rsidP="00AC67A4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3063D4" w:rsidRDefault="00172E4C" w:rsidP="00694257">
      <w:pPr>
        <w:jc w:val="both"/>
      </w:pPr>
      <w:r w:rsidRPr="00172E4C">
        <w:t xml:space="preserve">Līguma slēgšanas tiesības tiek piešķirtas – </w:t>
      </w:r>
      <w:r w:rsidR="008400B1" w:rsidRPr="008400B1">
        <w:t xml:space="preserve">Ārvalstu komersanta OU </w:t>
      </w:r>
      <w:proofErr w:type="spellStart"/>
      <w:r w:rsidR="008400B1" w:rsidRPr="008400B1">
        <w:t>Fixdem</w:t>
      </w:r>
      <w:proofErr w:type="spellEnd"/>
      <w:r w:rsidR="008400B1" w:rsidRPr="008400B1">
        <w:t xml:space="preserve"> </w:t>
      </w:r>
      <w:proofErr w:type="spellStart"/>
      <w:r w:rsidR="008400B1" w:rsidRPr="008400B1">
        <w:t>Eesti</w:t>
      </w:r>
      <w:proofErr w:type="spellEnd"/>
      <w:r w:rsidR="008400B1" w:rsidRPr="008400B1">
        <w:t xml:space="preserve"> filiāle Latvijā</w:t>
      </w:r>
      <w:r w:rsidRPr="00172E4C">
        <w:t>,</w:t>
      </w:r>
      <w:r w:rsidR="00694257" w:rsidRPr="00694257">
        <w:t xml:space="preserve"> </w:t>
      </w:r>
      <w:r w:rsidR="008400B1">
        <w:t xml:space="preserve">Atmodas </w:t>
      </w:r>
      <w:r w:rsidR="00694257">
        <w:t xml:space="preserve">iela </w:t>
      </w:r>
      <w:r w:rsidR="008400B1">
        <w:t>19</w:t>
      </w:r>
      <w:r w:rsidR="00694257">
        <w:t xml:space="preserve">, </w:t>
      </w:r>
      <w:r w:rsidR="008400B1">
        <w:t>Jelgava, LV- 3007</w:t>
      </w:r>
      <w:r w:rsidRPr="00172E4C">
        <w:t>, vienotais reģistrācijas Nr.</w:t>
      </w:r>
      <w:r w:rsidR="008400B1">
        <w:t>40203131082</w:t>
      </w:r>
      <w:r>
        <w:t xml:space="preserve">, par līgumcenu EUR </w:t>
      </w:r>
      <w:r w:rsidR="008400B1">
        <w:t xml:space="preserve">9968.57 </w:t>
      </w:r>
      <w:r w:rsidRPr="00172E4C">
        <w:t>bez PVN.</w:t>
      </w:r>
    </w:p>
    <w:p w:rsidR="00A334BF" w:rsidRPr="00491453" w:rsidRDefault="00491453" w:rsidP="00172E4C">
      <w:pPr>
        <w:jc w:val="both"/>
        <w:rPr>
          <w:b/>
        </w:rPr>
      </w:pPr>
      <w:r w:rsidRPr="00491453">
        <w:rPr>
          <w:b/>
        </w:rPr>
        <w:t>2.daļa “Dzērves”, Platones pagasts, Jelgavas novads”</w:t>
      </w:r>
    </w:p>
    <w:p w:rsidR="0003393E" w:rsidRDefault="0003393E" w:rsidP="0003393E">
      <w:pPr>
        <w:jc w:val="both"/>
      </w:pPr>
      <w:r>
        <w:t xml:space="preserve">Atvēršanas protokolā pretendenta </w:t>
      </w:r>
      <w:r w:rsidRPr="00807894">
        <w:t>SIA “</w:t>
      </w:r>
      <w:proofErr w:type="spellStart"/>
      <w:r w:rsidRPr="00807894">
        <w:t>Prima</w:t>
      </w:r>
      <w:proofErr w:type="spellEnd"/>
      <w:r w:rsidRPr="00807894">
        <w:t xml:space="preserve"> </w:t>
      </w:r>
      <w:proofErr w:type="spellStart"/>
      <w:r w:rsidRPr="00807894">
        <w:t>Pick</w:t>
      </w:r>
      <w:proofErr w:type="spellEnd"/>
      <w:r w:rsidRPr="00807894">
        <w:t>”</w:t>
      </w:r>
      <w:r>
        <w:t xml:space="preserve"> piedāvātā cena bez PVN iepirkuma 2.daļai tika nosaukta no pretendenta finanšu piedāvājuma kopsavilkuma. Vērtēšanas procesā, izskatot pretendenta lokālo tāmi, iepirkuma komisija konstatē, ka </w:t>
      </w:r>
      <w:r w:rsidRPr="00463F2A">
        <w:t>pretendent</w:t>
      </w:r>
      <w:r>
        <w:t>s</w:t>
      </w:r>
      <w:r w:rsidRPr="00463F2A">
        <w:t xml:space="preserve"> SIA “</w:t>
      </w:r>
      <w:proofErr w:type="spellStart"/>
      <w:r w:rsidRPr="00463F2A">
        <w:t>Prima</w:t>
      </w:r>
      <w:proofErr w:type="spellEnd"/>
      <w:r w:rsidRPr="00463F2A">
        <w:t xml:space="preserve"> </w:t>
      </w:r>
      <w:proofErr w:type="spellStart"/>
      <w:r w:rsidRPr="00463F2A">
        <w:t>Pick</w:t>
      </w:r>
      <w:proofErr w:type="spellEnd"/>
      <w:r w:rsidRPr="00463F2A">
        <w:t>” finanšu p</w:t>
      </w:r>
      <w:r>
        <w:t xml:space="preserve">iedāvājuma kopsavilkumā norādījis tiešās izmaksas kopā, neiekļaujot </w:t>
      </w:r>
      <w:proofErr w:type="spellStart"/>
      <w:r w:rsidRPr="00B66514">
        <w:t>virsizdevumus</w:t>
      </w:r>
      <w:proofErr w:type="spellEnd"/>
      <w:r w:rsidRPr="00B66514">
        <w:t xml:space="preserve"> un peļņu</w:t>
      </w:r>
      <w:r>
        <w:t>. I</w:t>
      </w:r>
      <w:r w:rsidRPr="00463F2A">
        <w:t>epirkuma komisija</w:t>
      </w:r>
      <w:r>
        <w:t>, saskaitot</w:t>
      </w:r>
      <w:r w:rsidRPr="00B66514">
        <w:t xml:space="preserve"> </w:t>
      </w:r>
      <w:r>
        <w:t xml:space="preserve">tiešās izmaksas, </w:t>
      </w:r>
      <w:proofErr w:type="spellStart"/>
      <w:r>
        <w:t>virsizdevumus</w:t>
      </w:r>
      <w:proofErr w:type="spellEnd"/>
      <w:r>
        <w:t xml:space="preserve"> un peļņu, nosauc cenu kopā bez PVN 2.daļai – EUR 4705.62.</w:t>
      </w:r>
    </w:p>
    <w:p w:rsidR="0003393E" w:rsidRPr="00694257" w:rsidRDefault="0003393E" w:rsidP="0003393E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03393E" w:rsidRDefault="0003393E" w:rsidP="0003393E">
      <w:pPr>
        <w:jc w:val="both"/>
      </w:pPr>
      <w:r w:rsidRPr="00172E4C">
        <w:t xml:space="preserve">Līguma slēgšanas tiesības tiek piešķirtas – </w:t>
      </w:r>
      <w:r w:rsidRPr="008400B1">
        <w:t xml:space="preserve">Ārvalstu komersanta OU </w:t>
      </w:r>
      <w:proofErr w:type="spellStart"/>
      <w:r w:rsidRPr="008400B1">
        <w:t>Fixdem</w:t>
      </w:r>
      <w:proofErr w:type="spellEnd"/>
      <w:r w:rsidRPr="008400B1">
        <w:t xml:space="preserve"> </w:t>
      </w:r>
      <w:proofErr w:type="spellStart"/>
      <w:r w:rsidRPr="008400B1">
        <w:t>Eesti</w:t>
      </w:r>
      <w:proofErr w:type="spellEnd"/>
      <w:r w:rsidRPr="008400B1">
        <w:t xml:space="preserve"> filiāle Latvijā</w:t>
      </w:r>
      <w:r w:rsidRPr="00172E4C">
        <w:t>,</w:t>
      </w:r>
      <w:proofErr w:type="gramStart"/>
      <w:r w:rsidRPr="00694257">
        <w:t xml:space="preserve"> </w:t>
      </w:r>
      <w:r>
        <w:t xml:space="preserve"> </w:t>
      </w:r>
      <w:proofErr w:type="gramEnd"/>
      <w:r>
        <w:t xml:space="preserve">par līgumcenu EUR </w:t>
      </w:r>
      <w:r>
        <w:t>4229.70</w:t>
      </w:r>
      <w:r>
        <w:t xml:space="preserve"> </w:t>
      </w:r>
      <w:r w:rsidRPr="00172E4C">
        <w:t>bez PVN.</w:t>
      </w:r>
    </w:p>
    <w:p w:rsidR="003F48EC" w:rsidRDefault="00B65537" w:rsidP="00172E4C">
      <w:pPr>
        <w:jc w:val="both"/>
      </w:pPr>
      <w:r>
        <w:rPr>
          <w:b/>
        </w:rPr>
        <w:t>3</w:t>
      </w:r>
      <w:r>
        <w:rPr>
          <w:b/>
        </w:rPr>
        <w:t xml:space="preserve">.daļa </w:t>
      </w:r>
      <w:r w:rsidRPr="001B58B8">
        <w:rPr>
          <w:b/>
        </w:rPr>
        <w:t>“</w:t>
      </w:r>
      <w:r w:rsidRPr="00507DA5">
        <w:rPr>
          <w:b/>
        </w:rPr>
        <w:t>Ērgļu iela 4”, Vītoliņi, Valgundes pagasts, Jelgavas novads</w:t>
      </w:r>
      <w:r>
        <w:rPr>
          <w:b/>
        </w:rPr>
        <w:t>”</w:t>
      </w:r>
    </w:p>
    <w:p w:rsidR="003F48EC" w:rsidRDefault="00B65537" w:rsidP="00172E4C">
      <w:pPr>
        <w:jc w:val="both"/>
      </w:pPr>
      <w:r>
        <w:t xml:space="preserve">Atvēršanas protokolā pretendenta </w:t>
      </w:r>
      <w:r w:rsidRPr="00807894">
        <w:t>SIA “</w:t>
      </w:r>
      <w:proofErr w:type="spellStart"/>
      <w:r w:rsidRPr="00807894">
        <w:t>Prima</w:t>
      </w:r>
      <w:proofErr w:type="spellEnd"/>
      <w:r w:rsidRPr="00807894">
        <w:t xml:space="preserve"> </w:t>
      </w:r>
      <w:proofErr w:type="spellStart"/>
      <w:r w:rsidRPr="00807894">
        <w:t>Pick</w:t>
      </w:r>
      <w:proofErr w:type="spellEnd"/>
      <w:r w:rsidRPr="00807894">
        <w:t>”</w:t>
      </w:r>
      <w:r>
        <w:t xml:space="preserve"> piedāvātā cena bez PVN iepirkuma 3.daļai tika nosaukta no pretendenta finanšu piedāvājuma kopsavilkuma. Vērtēšanas procesā, izskatot pretendenta lokālo tāmi, iepirkuma komisija konstatē, ka </w:t>
      </w:r>
      <w:r w:rsidRPr="00463F2A">
        <w:t>pretendent</w:t>
      </w:r>
      <w:r>
        <w:t>s</w:t>
      </w:r>
      <w:r w:rsidRPr="00463F2A">
        <w:t xml:space="preserve"> SIA “</w:t>
      </w:r>
      <w:proofErr w:type="spellStart"/>
      <w:r w:rsidRPr="00463F2A">
        <w:t>Prima</w:t>
      </w:r>
      <w:proofErr w:type="spellEnd"/>
      <w:r w:rsidRPr="00463F2A">
        <w:t xml:space="preserve"> </w:t>
      </w:r>
      <w:proofErr w:type="spellStart"/>
      <w:r w:rsidRPr="00463F2A">
        <w:t>Pick</w:t>
      </w:r>
      <w:proofErr w:type="spellEnd"/>
      <w:r w:rsidRPr="00463F2A">
        <w:t>” finanšu p</w:t>
      </w:r>
      <w:r>
        <w:t xml:space="preserve">iedāvājuma kopsavilkumā norādījis tiešās izmaksas kopā, neiekļaujot </w:t>
      </w:r>
      <w:proofErr w:type="spellStart"/>
      <w:r w:rsidRPr="00B66514">
        <w:t>virsizdevumus</w:t>
      </w:r>
      <w:proofErr w:type="spellEnd"/>
      <w:r w:rsidRPr="00B66514">
        <w:t xml:space="preserve"> un peļņu</w:t>
      </w:r>
      <w:r>
        <w:t>. I</w:t>
      </w:r>
      <w:r w:rsidRPr="00463F2A">
        <w:t>epirkuma komisija</w:t>
      </w:r>
      <w:r>
        <w:t>, saskaitot</w:t>
      </w:r>
      <w:r w:rsidRPr="00B66514">
        <w:t xml:space="preserve"> </w:t>
      </w:r>
      <w:r>
        <w:t xml:space="preserve">tiešās izmaksas, </w:t>
      </w:r>
      <w:proofErr w:type="spellStart"/>
      <w:r>
        <w:t>virsizdevumus</w:t>
      </w:r>
      <w:proofErr w:type="spellEnd"/>
      <w:r>
        <w:t xml:space="preserve"> un peļņu, nosauc cenu kopā bez PVN 3.daļai – EUR 12319.89.</w:t>
      </w:r>
    </w:p>
    <w:p w:rsidR="00B65537" w:rsidRPr="00694257" w:rsidRDefault="00B65537" w:rsidP="00B65537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B65537" w:rsidRDefault="00B65537" w:rsidP="00B65537">
      <w:pPr>
        <w:jc w:val="both"/>
      </w:pPr>
      <w:r w:rsidRPr="00172E4C">
        <w:lastRenderedPageBreak/>
        <w:t>Līguma slēgšanas tiesības tiek piešķirtas –</w:t>
      </w:r>
      <w:r w:rsidRPr="00B65537">
        <w:t xml:space="preserve"> SIA “</w:t>
      </w:r>
      <w:proofErr w:type="spellStart"/>
      <w:r w:rsidRPr="00B65537">
        <w:t>Cascade</w:t>
      </w:r>
      <w:proofErr w:type="spellEnd"/>
      <w:r w:rsidRPr="00B65537">
        <w:t xml:space="preserve"> </w:t>
      </w:r>
      <w:proofErr w:type="spellStart"/>
      <w:r w:rsidRPr="00B65537">
        <w:t>mining</w:t>
      </w:r>
      <w:proofErr w:type="spellEnd"/>
      <w:r w:rsidRPr="00B65537">
        <w:t>”</w:t>
      </w:r>
      <w:r w:rsidRPr="00172E4C">
        <w:t>,</w:t>
      </w:r>
      <w:r w:rsidRPr="00694257">
        <w:t xml:space="preserve"> </w:t>
      </w:r>
      <w:r w:rsidRPr="00B65537">
        <w:t>juridiskā adrese: ”Stūri”, Gaviezes pagasts, Grobiņas novads, LV- 3431 reģistrācijas nr. 40103762823</w:t>
      </w:r>
      <w:r>
        <w:t xml:space="preserve">, par līgumcenu EUR </w:t>
      </w:r>
      <w:r>
        <w:t>7738.83</w:t>
      </w:r>
      <w:r>
        <w:t xml:space="preserve"> </w:t>
      </w:r>
      <w:r w:rsidRPr="00172E4C">
        <w:t>bez PVN.</w:t>
      </w:r>
    </w:p>
    <w:p w:rsidR="003F48EC" w:rsidRDefault="0012075B" w:rsidP="00172E4C">
      <w:pPr>
        <w:jc w:val="both"/>
      </w:pPr>
      <w:r>
        <w:rPr>
          <w:b/>
        </w:rPr>
        <w:t>4</w:t>
      </w:r>
      <w:r>
        <w:rPr>
          <w:b/>
        </w:rPr>
        <w:t>.daļa</w:t>
      </w:r>
      <w:r w:rsidRPr="001B58B8">
        <w:rPr>
          <w:b/>
        </w:rPr>
        <w:t xml:space="preserve"> “</w:t>
      </w:r>
      <w:proofErr w:type="spellStart"/>
      <w:r w:rsidRPr="00E20E9E">
        <w:rPr>
          <w:b/>
        </w:rPr>
        <w:t>Lielkārniņi</w:t>
      </w:r>
      <w:proofErr w:type="spellEnd"/>
      <w:r w:rsidRPr="00E20E9E">
        <w:rPr>
          <w:b/>
        </w:rPr>
        <w:t>”, Kārniņi, Jaunsvirlaukas pagasts, Jelgavas novads</w:t>
      </w:r>
      <w:r>
        <w:rPr>
          <w:b/>
        </w:rPr>
        <w:t>”</w:t>
      </w:r>
    </w:p>
    <w:p w:rsidR="00A334BF" w:rsidRDefault="0012075B" w:rsidP="00172E4C">
      <w:pPr>
        <w:jc w:val="both"/>
      </w:pPr>
      <w:r>
        <w:t xml:space="preserve">Atvēršanas protokolā pretendenta </w:t>
      </w:r>
      <w:r w:rsidRPr="00807894">
        <w:t>SIA “</w:t>
      </w:r>
      <w:proofErr w:type="spellStart"/>
      <w:r w:rsidRPr="00807894">
        <w:t>Prima</w:t>
      </w:r>
      <w:proofErr w:type="spellEnd"/>
      <w:r w:rsidRPr="00807894">
        <w:t xml:space="preserve"> </w:t>
      </w:r>
      <w:proofErr w:type="spellStart"/>
      <w:r w:rsidRPr="00807894">
        <w:t>Pick</w:t>
      </w:r>
      <w:proofErr w:type="spellEnd"/>
      <w:r w:rsidRPr="00807894">
        <w:t>”</w:t>
      </w:r>
      <w:r>
        <w:t xml:space="preserve"> piedāvātā cena bez PVN iepirkuma 4.daļai tika nosaukta no pretendenta finanšu piedāvājuma kopsavilkuma. Vērtēšanas procesā, izskatot pretendenta lokālo tāmi, iepirkuma komisija konstatē, ka </w:t>
      </w:r>
      <w:r w:rsidRPr="00463F2A">
        <w:t>pretendent</w:t>
      </w:r>
      <w:r>
        <w:t>s</w:t>
      </w:r>
      <w:r w:rsidRPr="00463F2A">
        <w:t xml:space="preserve"> SIA “</w:t>
      </w:r>
      <w:proofErr w:type="spellStart"/>
      <w:r w:rsidRPr="00463F2A">
        <w:t>Prima</w:t>
      </w:r>
      <w:proofErr w:type="spellEnd"/>
      <w:r w:rsidRPr="00463F2A">
        <w:t xml:space="preserve"> </w:t>
      </w:r>
      <w:proofErr w:type="spellStart"/>
      <w:r w:rsidRPr="00463F2A">
        <w:t>Pick</w:t>
      </w:r>
      <w:proofErr w:type="spellEnd"/>
      <w:r w:rsidRPr="00463F2A">
        <w:t>” finanšu p</w:t>
      </w:r>
      <w:r>
        <w:t xml:space="preserve">iedāvājuma kopsavilkumā norādījis tiešās izmaksas kopā, neiekļaujot </w:t>
      </w:r>
      <w:proofErr w:type="spellStart"/>
      <w:r w:rsidRPr="00B66514">
        <w:t>virsizdevumus</w:t>
      </w:r>
      <w:proofErr w:type="spellEnd"/>
      <w:r w:rsidRPr="00B66514">
        <w:t xml:space="preserve"> un peļņu</w:t>
      </w:r>
      <w:r>
        <w:t>. I</w:t>
      </w:r>
      <w:r w:rsidRPr="00463F2A">
        <w:t>epirkuma komisija</w:t>
      </w:r>
      <w:r>
        <w:t>, saskaitot</w:t>
      </w:r>
      <w:r w:rsidRPr="00B66514">
        <w:t xml:space="preserve"> </w:t>
      </w:r>
      <w:r>
        <w:t xml:space="preserve">tiešās izmaksas, </w:t>
      </w:r>
      <w:proofErr w:type="spellStart"/>
      <w:r>
        <w:t>virsizdevumus</w:t>
      </w:r>
      <w:proofErr w:type="spellEnd"/>
      <w:r>
        <w:t xml:space="preserve"> un peļņu, nosauc cenu kopā bez PVN 4.daļai – EUR</w:t>
      </w:r>
      <w:proofErr w:type="gramStart"/>
      <w:r>
        <w:t xml:space="preserve">  </w:t>
      </w:r>
      <w:proofErr w:type="gramEnd"/>
      <w:r>
        <w:t>5487.10.</w:t>
      </w:r>
    </w:p>
    <w:p w:rsidR="0012075B" w:rsidRPr="00694257" w:rsidRDefault="0012075B" w:rsidP="0012075B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12075B" w:rsidRDefault="0012075B" w:rsidP="0012075B">
      <w:pPr>
        <w:jc w:val="both"/>
      </w:pPr>
      <w:r w:rsidRPr="00172E4C">
        <w:t>Līguma slēgšanas tiesības tiek piešķirtas –</w:t>
      </w:r>
      <w:r w:rsidRPr="00B65537">
        <w:t xml:space="preserve"> SIA “</w:t>
      </w:r>
      <w:proofErr w:type="spellStart"/>
      <w:r w:rsidRPr="00B65537">
        <w:t>Cascade</w:t>
      </w:r>
      <w:proofErr w:type="spellEnd"/>
      <w:r w:rsidRPr="00B65537">
        <w:t xml:space="preserve"> </w:t>
      </w:r>
      <w:proofErr w:type="spellStart"/>
      <w:r w:rsidRPr="00B65537">
        <w:t>mining</w:t>
      </w:r>
      <w:proofErr w:type="spellEnd"/>
      <w:r w:rsidRPr="00B65537">
        <w:t>”</w:t>
      </w:r>
      <w:r w:rsidRPr="00172E4C">
        <w:t>,</w:t>
      </w:r>
      <w:r w:rsidRPr="00694257">
        <w:t xml:space="preserve"> </w:t>
      </w:r>
      <w:r>
        <w:t xml:space="preserve">par līgumcenu EUR </w:t>
      </w:r>
      <w:r>
        <w:t xml:space="preserve">4027.56 </w:t>
      </w:r>
      <w:r w:rsidRPr="00172E4C">
        <w:t>bez PVN.</w:t>
      </w:r>
    </w:p>
    <w:p w:rsidR="004711B5" w:rsidRDefault="00166439" w:rsidP="00172E4C">
      <w:pPr>
        <w:jc w:val="both"/>
        <w:rPr>
          <w:b/>
        </w:rPr>
      </w:pPr>
      <w:r>
        <w:rPr>
          <w:b/>
        </w:rPr>
        <w:t>5</w:t>
      </w:r>
      <w:r>
        <w:rPr>
          <w:b/>
        </w:rPr>
        <w:t xml:space="preserve">.daļa </w:t>
      </w:r>
      <w:r w:rsidRPr="001B58B8">
        <w:rPr>
          <w:b/>
        </w:rPr>
        <w:t>“</w:t>
      </w:r>
      <w:r w:rsidRPr="005D7479">
        <w:rPr>
          <w:b/>
        </w:rPr>
        <w:t>Skolas iela 10A, 10B”, Nākotne, Glūdas pagasts, Jelgavas novads</w:t>
      </w:r>
      <w:r>
        <w:rPr>
          <w:b/>
        </w:rPr>
        <w:t>”</w:t>
      </w:r>
    </w:p>
    <w:p w:rsidR="00166439" w:rsidRDefault="00166439" w:rsidP="00172E4C">
      <w:pPr>
        <w:jc w:val="both"/>
        <w:rPr>
          <w:b/>
        </w:rPr>
      </w:pPr>
      <w:r>
        <w:t xml:space="preserve">Atvēršanas protokolā pretendenta </w:t>
      </w:r>
      <w:r w:rsidRPr="00807894">
        <w:t>SIA “</w:t>
      </w:r>
      <w:proofErr w:type="spellStart"/>
      <w:r w:rsidRPr="00807894">
        <w:t>Prima</w:t>
      </w:r>
      <w:proofErr w:type="spellEnd"/>
      <w:r w:rsidRPr="00807894">
        <w:t xml:space="preserve"> </w:t>
      </w:r>
      <w:proofErr w:type="spellStart"/>
      <w:r w:rsidRPr="00807894">
        <w:t>Pick</w:t>
      </w:r>
      <w:proofErr w:type="spellEnd"/>
      <w:r w:rsidRPr="00807894">
        <w:t>”</w:t>
      </w:r>
      <w:r>
        <w:t xml:space="preserve"> piedāvātā cena bez PVN iepirkuma 5.daļai tika nosaukta no pretendenta finanšu piedāvājuma kopsavilkuma. Vērtēšanas procesā, izskatot pretendenta lokālo tāmi, iepirkuma komisija konstatē, ka </w:t>
      </w:r>
      <w:r w:rsidRPr="00463F2A">
        <w:t>pretendent</w:t>
      </w:r>
      <w:r>
        <w:t>s</w:t>
      </w:r>
      <w:r w:rsidRPr="00463F2A">
        <w:t xml:space="preserve"> SIA “</w:t>
      </w:r>
      <w:proofErr w:type="spellStart"/>
      <w:r w:rsidRPr="00463F2A">
        <w:t>Prima</w:t>
      </w:r>
      <w:proofErr w:type="spellEnd"/>
      <w:r w:rsidRPr="00463F2A">
        <w:t xml:space="preserve"> </w:t>
      </w:r>
      <w:proofErr w:type="spellStart"/>
      <w:r w:rsidRPr="00463F2A">
        <w:t>Pick</w:t>
      </w:r>
      <w:proofErr w:type="spellEnd"/>
      <w:r w:rsidRPr="00463F2A">
        <w:t>” finanšu p</w:t>
      </w:r>
      <w:r>
        <w:t xml:space="preserve">iedāvājuma kopsavilkumā norādījis tiešās izmaksas kopā, neiekļaujot </w:t>
      </w:r>
      <w:proofErr w:type="spellStart"/>
      <w:r w:rsidRPr="00B66514">
        <w:t>virsizdevumus</w:t>
      </w:r>
      <w:proofErr w:type="spellEnd"/>
      <w:r w:rsidRPr="00B66514">
        <w:t xml:space="preserve"> un peļņu</w:t>
      </w:r>
      <w:r>
        <w:t>. I</w:t>
      </w:r>
      <w:r w:rsidRPr="00463F2A">
        <w:t>epirkuma komisija</w:t>
      </w:r>
      <w:r>
        <w:t>, saskaitot</w:t>
      </w:r>
      <w:r w:rsidRPr="00B66514">
        <w:t xml:space="preserve"> </w:t>
      </w:r>
      <w:r>
        <w:t xml:space="preserve">tiešās izmaksas, </w:t>
      </w:r>
      <w:proofErr w:type="spellStart"/>
      <w:r>
        <w:t>virsizdevumus</w:t>
      </w:r>
      <w:proofErr w:type="spellEnd"/>
      <w:r>
        <w:t xml:space="preserve"> un peļņu, nosauc cenu kopā bez PVN 5.daļai – EUR 7168</w:t>
      </w:r>
      <w:r>
        <w:t>.</w:t>
      </w:r>
    </w:p>
    <w:p w:rsidR="00166439" w:rsidRPr="00694257" w:rsidRDefault="00166439" w:rsidP="00166439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166439" w:rsidRDefault="00166439" w:rsidP="00166439">
      <w:pPr>
        <w:jc w:val="both"/>
      </w:pPr>
      <w:r w:rsidRPr="00172E4C">
        <w:t>Līguma slēgšanas tiesības tiek piešķirtas –</w:t>
      </w:r>
      <w:r w:rsidRPr="00B65537">
        <w:t xml:space="preserve"> </w:t>
      </w:r>
      <w:r w:rsidRPr="00166439">
        <w:t xml:space="preserve">SIA “401 </w:t>
      </w:r>
      <w:proofErr w:type="spellStart"/>
      <w:r w:rsidRPr="00166439">
        <w:t>Logistic</w:t>
      </w:r>
      <w:proofErr w:type="spellEnd"/>
      <w:r w:rsidRPr="00166439">
        <w:t>”</w:t>
      </w:r>
      <w:r w:rsidRPr="00172E4C">
        <w:t>,</w:t>
      </w:r>
      <w:r w:rsidRPr="00694257">
        <w:t xml:space="preserve"> </w:t>
      </w:r>
      <w:r w:rsidRPr="00B65537">
        <w:t>juridiskā adrese:</w:t>
      </w:r>
      <w:r w:rsidR="00827210" w:rsidRPr="00827210">
        <w:t xml:space="preserve"> Dainu iela 10 -37, Dobele, LV- 3701, reģistrācijas nr. 48503026063</w:t>
      </w:r>
      <w:r>
        <w:t xml:space="preserve"> par līgumcenu EUR </w:t>
      </w:r>
      <w:r w:rsidR="006E1CC2">
        <w:t>6416.59</w:t>
      </w:r>
      <w:r>
        <w:t xml:space="preserve"> </w:t>
      </w:r>
      <w:r w:rsidRPr="00172E4C">
        <w:t>bez PVN.</w:t>
      </w:r>
    </w:p>
    <w:p w:rsidR="00166439" w:rsidRDefault="00166439" w:rsidP="00172E4C">
      <w:pPr>
        <w:jc w:val="both"/>
        <w:rPr>
          <w:b/>
        </w:rPr>
      </w:pPr>
    </w:p>
    <w:p w:rsidR="00166439" w:rsidRDefault="00166439" w:rsidP="00172E4C">
      <w:pPr>
        <w:jc w:val="both"/>
        <w:rPr>
          <w:b/>
        </w:rPr>
      </w:pPr>
    </w:p>
    <w:p w:rsidR="00EA1249" w:rsidRDefault="00EA1249" w:rsidP="00172E4C">
      <w:pPr>
        <w:jc w:val="both"/>
        <w:rPr>
          <w:b/>
        </w:rPr>
      </w:pPr>
    </w:p>
    <w:p w:rsidR="00EA1249" w:rsidRDefault="00EA1249" w:rsidP="00172E4C">
      <w:pPr>
        <w:jc w:val="both"/>
        <w:rPr>
          <w:b/>
        </w:rPr>
      </w:pPr>
      <w:bookmarkStart w:id="0" w:name="_GoBack"/>
      <w:bookmarkEnd w:id="0"/>
    </w:p>
    <w:p w:rsidR="00166439" w:rsidRDefault="00166439" w:rsidP="00172E4C">
      <w:pPr>
        <w:jc w:val="both"/>
      </w:pPr>
    </w:p>
    <w:p w:rsidR="00AC67A4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172E4C" w:rsidRPr="00B8272B" w:rsidRDefault="00172E4C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9F6AC0">
        <w:t>K.Akone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A124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B72C08" w:rsidRDefault="00EA124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98112A8"/>
    <w:multiLevelType w:val="multilevel"/>
    <w:tmpl w:val="ED58001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5"/>
  </w:num>
  <w:num w:numId="7">
    <w:abstractNumId w:val="13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17"/>
  </w:num>
  <w:num w:numId="16">
    <w:abstractNumId w:val="1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93E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7628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2CBF"/>
    <w:rsid w:val="000C6DCB"/>
    <w:rsid w:val="000C6E8B"/>
    <w:rsid w:val="000D30EF"/>
    <w:rsid w:val="000E4287"/>
    <w:rsid w:val="000E5850"/>
    <w:rsid w:val="000E6CCA"/>
    <w:rsid w:val="000E6D34"/>
    <w:rsid w:val="000E6D5F"/>
    <w:rsid w:val="000F4936"/>
    <w:rsid w:val="000F6C58"/>
    <w:rsid w:val="00103BD3"/>
    <w:rsid w:val="00103DB9"/>
    <w:rsid w:val="00110CE5"/>
    <w:rsid w:val="0011238F"/>
    <w:rsid w:val="00114723"/>
    <w:rsid w:val="0012075B"/>
    <w:rsid w:val="00122162"/>
    <w:rsid w:val="001230A8"/>
    <w:rsid w:val="0012442F"/>
    <w:rsid w:val="001363DC"/>
    <w:rsid w:val="00136CE4"/>
    <w:rsid w:val="00137FFB"/>
    <w:rsid w:val="00140F69"/>
    <w:rsid w:val="0014220D"/>
    <w:rsid w:val="00157561"/>
    <w:rsid w:val="00166439"/>
    <w:rsid w:val="001664E7"/>
    <w:rsid w:val="00170D48"/>
    <w:rsid w:val="00172E4C"/>
    <w:rsid w:val="00172F10"/>
    <w:rsid w:val="00181BF6"/>
    <w:rsid w:val="0018241F"/>
    <w:rsid w:val="00184657"/>
    <w:rsid w:val="00192551"/>
    <w:rsid w:val="00194024"/>
    <w:rsid w:val="00196929"/>
    <w:rsid w:val="001A0A73"/>
    <w:rsid w:val="001A1998"/>
    <w:rsid w:val="001A2B70"/>
    <w:rsid w:val="001A743C"/>
    <w:rsid w:val="001B0A48"/>
    <w:rsid w:val="001B1668"/>
    <w:rsid w:val="001C246D"/>
    <w:rsid w:val="001C6087"/>
    <w:rsid w:val="001D3EF3"/>
    <w:rsid w:val="001D58EB"/>
    <w:rsid w:val="001D6DA3"/>
    <w:rsid w:val="001E2236"/>
    <w:rsid w:val="001E69F2"/>
    <w:rsid w:val="001F1400"/>
    <w:rsid w:val="001F1595"/>
    <w:rsid w:val="001F585D"/>
    <w:rsid w:val="00202802"/>
    <w:rsid w:val="002034E2"/>
    <w:rsid w:val="00213EF8"/>
    <w:rsid w:val="00235847"/>
    <w:rsid w:val="00240231"/>
    <w:rsid w:val="002410B2"/>
    <w:rsid w:val="00242F30"/>
    <w:rsid w:val="002465BB"/>
    <w:rsid w:val="002479A4"/>
    <w:rsid w:val="0025205D"/>
    <w:rsid w:val="00253BB0"/>
    <w:rsid w:val="002631F7"/>
    <w:rsid w:val="00273227"/>
    <w:rsid w:val="00290628"/>
    <w:rsid w:val="002950C8"/>
    <w:rsid w:val="00297607"/>
    <w:rsid w:val="002A245C"/>
    <w:rsid w:val="002A3236"/>
    <w:rsid w:val="002A62F0"/>
    <w:rsid w:val="002B36F0"/>
    <w:rsid w:val="002B78A5"/>
    <w:rsid w:val="002C43B1"/>
    <w:rsid w:val="002D4965"/>
    <w:rsid w:val="002E197D"/>
    <w:rsid w:val="002F0358"/>
    <w:rsid w:val="002F3B65"/>
    <w:rsid w:val="002F5D92"/>
    <w:rsid w:val="002F77A7"/>
    <w:rsid w:val="003063D4"/>
    <w:rsid w:val="003077D1"/>
    <w:rsid w:val="00310700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3D15"/>
    <w:rsid w:val="003774CE"/>
    <w:rsid w:val="00383B32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E12AA"/>
    <w:rsid w:val="003F48EC"/>
    <w:rsid w:val="003F63D3"/>
    <w:rsid w:val="00403487"/>
    <w:rsid w:val="0040448D"/>
    <w:rsid w:val="00404975"/>
    <w:rsid w:val="004162B3"/>
    <w:rsid w:val="004205A7"/>
    <w:rsid w:val="00421DE3"/>
    <w:rsid w:val="00425ADD"/>
    <w:rsid w:val="00431B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11B5"/>
    <w:rsid w:val="0047262D"/>
    <w:rsid w:val="004774DF"/>
    <w:rsid w:val="0048178D"/>
    <w:rsid w:val="00484CBD"/>
    <w:rsid w:val="00484E83"/>
    <w:rsid w:val="00486A18"/>
    <w:rsid w:val="004871F5"/>
    <w:rsid w:val="00491453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6702A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4FAE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4257"/>
    <w:rsid w:val="00697657"/>
    <w:rsid w:val="0069779F"/>
    <w:rsid w:val="006A6BB9"/>
    <w:rsid w:val="006C1FAA"/>
    <w:rsid w:val="006C4001"/>
    <w:rsid w:val="006C733A"/>
    <w:rsid w:val="006D1C32"/>
    <w:rsid w:val="006D3AFA"/>
    <w:rsid w:val="006E1CC2"/>
    <w:rsid w:val="006F4C38"/>
    <w:rsid w:val="006F5184"/>
    <w:rsid w:val="00710A46"/>
    <w:rsid w:val="00717283"/>
    <w:rsid w:val="007177D2"/>
    <w:rsid w:val="0072510E"/>
    <w:rsid w:val="0073144D"/>
    <w:rsid w:val="00734691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87A9B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1128"/>
    <w:rsid w:val="0080793D"/>
    <w:rsid w:val="008153F6"/>
    <w:rsid w:val="0081669C"/>
    <w:rsid w:val="00817827"/>
    <w:rsid w:val="00827210"/>
    <w:rsid w:val="00830675"/>
    <w:rsid w:val="008330AE"/>
    <w:rsid w:val="00836463"/>
    <w:rsid w:val="00836C11"/>
    <w:rsid w:val="008400B1"/>
    <w:rsid w:val="008401D5"/>
    <w:rsid w:val="0084142C"/>
    <w:rsid w:val="00842347"/>
    <w:rsid w:val="008445C1"/>
    <w:rsid w:val="00847A19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B5F93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37630"/>
    <w:rsid w:val="00940BFA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9F6AC0"/>
    <w:rsid w:val="00A00C03"/>
    <w:rsid w:val="00A03F64"/>
    <w:rsid w:val="00A10A1E"/>
    <w:rsid w:val="00A138BB"/>
    <w:rsid w:val="00A13CF0"/>
    <w:rsid w:val="00A155AF"/>
    <w:rsid w:val="00A301BB"/>
    <w:rsid w:val="00A306F3"/>
    <w:rsid w:val="00A334BF"/>
    <w:rsid w:val="00A40690"/>
    <w:rsid w:val="00A40CD1"/>
    <w:rsid w:val="00A422A4"/>
    <w:rsid w:val="00A440CC"/>
    <w:rsid w:val="00A46682"/>
    <w:rsid w:val="00A5487D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2267A"/>
    <w:rsid w:val="00B33AB8"/>
    <w:rsid w:val="00B37B98"/>
    <w:rsid w:val="00B4045E"/>
    <w:rsid w:val="00B422E6"/>
    <w:rsid w:val="00B44468"/>
    <w:rsid w:val="00B47430"/>
    <w:rsid w:val="00B54272"/>
    <w:rsid w:val="00B60808"/>
    <w:rsid w:val="00B61CCB"/>
    <w:rsid w:val="00B63B48"/>
    <w:rsid w:val="00B645B4"/>
    <w:rsid w:val="00B65537"/>
    <w:rsid w:val="00B65C6A"/>
    <w:rsid w:val="00B711B4"/>
    <w:rsid w:val="00B74730"/>
    <w:rsid w:val="00B75830"/>
    <w:rsid w:val="00B76012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A55FF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E6187"/>
    <w:rsid w:val="00BF408D"/>
    <w:rsid w:val="00BF5164"/>
    <w:rsid w:val="00C009CA"/>
    <w:rsid w:val="00C03685"/>
    <w:rsid w:val="00C044AA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5B4B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38F6"/>
    <w:rsid w:val="00CC50E5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361"/>
    <w:rsid w:val="00D545DE"/>
    <w:rsid w:val="00D65497"/>
    <w:rsid w:val="00D74B05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0501C"/>
    <w:rsid w:val="00E12CAE"/>
    <w:rsid w:val="00E1570F"/>
    <w:rsid w:val="00E22492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72DB5"/>
    <w:rsid w:val="00E74CA7"/>
    <w:rsid w:val="00E75DBE"/>
    <w:rsid w:val="00E8672A"/>
    <w:rsid w:val="00E91E5C"/>
    <w:rsid w:val="00E94BB6"/>
    <w:rsid w:val="00EA1249"/>
    <w:rsid w:val="00EA2C72"/>
    <w:rsid w:val="00EB01D0"/>
    <w:rsid w:val="00EB359F"/>
    <w:rsid w:val="00EB4098"/>
    <w:rsid w:val="00EB49BA"/>
    <w:rsid w:val="00EB4BAD"/>
    <w:rsid w:val="00EC10C2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29A3"/>
    <w:rsid w:val="00F65140"/>
    <w:rsid w:val="00F6536A"/>
    <w:rsid w:val="00F74138"/>
    <w:rsid w:val="00F76A1B"/>
    <w:rsid w:val="00F8016F"/>
    <w:rsid w:val="00F9054A"/>
    <w:rsid w:val="00F938B6"/>
    <w:rsid w:val="00F94E2D"/>
    <w:rsid w:val="00FA2918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1F40"/>
    <w:rsid w:val="00FE2C4C"/>
    <w:rsid w:val="00FE6169"/>
    <w:rsid w:val="00FF0848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F629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C50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1">
    <w:name w:val=" Char Char Rakstz. Rakstz. Char Char Rakstz. Rakstz."/>
    <w:basedOn w:val="Normal"/>
    <w:rsid w:val="001A743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F629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C50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1">
    <w:name w:val=" Char Char Rakstz. Rakstz. Char Char Rakstz. Rakstz."/>
    <w:basedOn w:val="Normal"/>
    <w:rsid w:val="001A743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2017-1CA7-4972-AD7C-827DECC5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4346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449</cp:revision>
  <cp:lastPrinted>2018-02-19T14:11:00Z</cp:lastPrinted>
  <dcterms:created xsi:type="dcterms:W3CDTF">2015-01-08T08:53:00Z</dcterms:created>
  <dcterms:modified xsi:type="dcterms:W3CDTF">2018-05-31T08:11:00Z</dcterms:modified>
</cp:coreProperties>
</file>