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82" w:rsidRDefault="008D7E82" w:rsidP="00ED78FE">
      <w:pPr>
        <w:jc w:val="center"/>
        <w:rPr>
          <w:b/>
        </w:rPr>
      </w:pPr>
    </w:p>
    <w:p w:rsidR="008D7E82" w:rsidRDefault="008D7E82" w:rsidP="00ED78FE">
      <w:pPr>
        <w:jc w:val="center"/>
        <w:rPr>
          <w:b/>
        </w:rPr>
      </w:pPr>
    </w:p>
    <w:p w:rsidR="00027DB8" w:rsidRDefault="00027DB8" w:rsidP="00C03685">
      <w:pPr>
        <w:jc w:val="center"/>
      </w:pPr>
    </w:p>
    <w:p w:rsidR="00027DB8" w:rsidRDefault="00027DB8" w:rsidP="00C03685">
      <w:pPr>
        <w:jc w:val="center"/>
      </w:pPr>
      <w:r w:rsidRPr="00027DB8">
        <w:rPr>
          <w:b/>
        </w:rPr>
        <w:t>Būvprojekta izstrāde un autoruzraudzība Projektos “Zaļenieku pagasta kultūras nama energoefektivitāte un teritorijas labiekārtošana”,</w:t>
      </w:r>
      <w:r w:rsidRPr="00027DB8">
        <w:t xml:space="preserve"> </w:t>
      </w:r>
      <w:r w:rsidRPr="00027DB8">
        <w:rPr>
          <w:b/>
        </w:rPr>
        <w:t>“SARC Elejas filiāles ēku energoefektivitāte un teritorijas labiekārtošana”</w:t>
      </w:r>
      <w:proofErr w:type="gramStart"/>
      <w:r>
        <w:t xml:space="preserve"> </w:t>
      </w:r>
      <w:r w:rsidRPr="00027DB8">
        <w:t xml:space="preserve"> </w:t>
      </w:r>
      <w:proofErr w:type="gramEnd"/>
    </w:p>
    <w:p w:rsidR="00E32A4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6828FE">
        <w:rPr>
          <w:b/>
        </w:rPr>
        <w:t>43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6828FE">
        <w:t>6.jūlijs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6828FE">
        <w:t>iepirkuma metode- atklāts konkurss</w:t>
      </w:r>
      <w:r w:rsidRPr="00BC05BA">
        <w:t xml:space="preserve">, iepirkuma identifikācijas Nr. </w:t>
      </w:r>
      <w:r w:rsidR="006828FE">
        <w:t>JNP 2017/43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6860EA" w:rsidRPr="006860EA">
        <w:t xml:space="preserve"> </w:t>
      </w:r>
      <w:r w:rsidR="006860EA">
        <w:t>b</w:t>
      </w:r>
      <w:r w:rsidR="006860EA" w:rsidRPr="006860EA">
        <w:t>ūvprojekta izstrāde un autoruzraudzība Projektos: “Zaļenieku pagasta kultūras nama energoefektivitāte un teritorijas labiekārtošana”, “SARC Elejas filiāles ēku energoefektivitāte un teritorijas labiekārtošana”.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D00B4E">
        <w:t>30</w:t>
      </w:r>
      <w:r w:rsidR="00C354B7">
        <w:t>.0</w:t>
      </w:r>
      <w:r w:rsidR="00D00B4E">
        <w:t>5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8A3BA1" w:rsidRPr="008C24BA" w:rsidRDefault="008A3BA1" w:rsidP="008A3BA1">
      <w:pPr>
        <w:ind w:left="43" w:right="249"/>
        <w:jc w:val="both"/>
        <w:rPr>
          <w:color w:val="000000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8A3BA1" w:rsidRPr="00354304" w:rsidRDefault="008A3BA1" w:rsidP="008A3BA1">
      <w:pPr>
        <w:tabs>
          <w:tab w:val="left" w:pos="9781"/>
        </w:tabs>
        <w:ind w:left="43"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8A3BA1" w:rsidRDefault="008A3BA1" w:rsidP="008A3BA1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8A3BA1" w:rsidRPr="00C77C6C" w:rsidRDefault="008A3BA1" w:rsidP="008A3BA1">
      <w:pPr>
        <w:ind w:left="43"/>
        <w:jc w:val="both"/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</w:t>
      </w:r>
      <w:r w:rsidRPr="00C77C6C">
        <w:t>Jelgavas novada pašvaldības Informācijas tehnoloģiju nodaļas vadītājs;</w:t>
      </w:r>
    </w:p>
    <w:p w:rsidR="008A3BA1" w:rsidRDefault="008A3BA1" w:rsidP="008A3BA1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8A3BA1" w:rsidRPr="005D2AC3" w:rsidRDefault="008A3BA1" w:rsidP="008A3BA1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8A3BA1" w:rsidRPr="005D2AC3" w:rsidRDefault="008A3BA1" w:rsidP="008A3BA1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A3BA1" w:rsidRPr="00B76685" w:rsidTr="000D5B0F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A3BA1" w:rsidRPr="005D2AC3" w:rsidRDefault="008A3BA1" w:rsidP="000D5B0F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8A3BA1" w:rsidRPr="005D2AC3" w:rsidRDefault="008A3BA1" w:rsidP="000D5B0F">
            <w:pPr>
              <w:ind w:left="43"/>
              <w:jc w:val="both"/>
            </w:pPr>
          </w:p>
        </w:tc>
      </w:tr>
      <w:tr w:rsidR="003178D7" w:rsidRPr="00B76685" w:rsidTr="008A3BA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178D7" w:rsidRPr="005D2AC3" w:rsidRDefault="00273227" w:rsidP="007C4518">
            <w:pPr>
              <w:jc w:val="both"/>
            </w:pPr>
            <w:r w:rsidRPr="00194024">
              <w:rPr>
                <w:u w:val="single"/>
              </w:rPr>
              <w:t>Tehniskās specifikācijas sagatavotājs</w:t>
            </w:r>
            <w:r>
              <w:t>-</w:t>
            </w:r>
            <w:r w:rsidR="00EF696E">
              <w:t xml:space="preserve"> </w:t>
            </w:r>
            <w:r w:rsidR="00EF696E" w:rsidRPr="00EF696E">
              <w:t>Juris Brūveris</w:t>
            </w:r>
            <w:r w:rsidR="00EF696E">
              <w:t>, Attīstības nodaļas būvinženieris.</w:t>
            </w:r>
          </w:p>
        </w:tc>
      </w:tr>
    </w:tbl>
    <w:p w:rsidR="00E32A4C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42294A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42294A">
        <w:t>21</w:t>
      </w:r>
      <w:r w:rsidR="008C7797">
        <w:t>.jūnijā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</w:t>
      </w:r>
      <w:r w:rsidR="00F1790E">
        <w:rPr>
          <w:b/>
          <w:u w:val="single"/>
        </w:rPr>
        <w:t>s, kas iesniedzis piedāvājumu</w:t>
      </w:r>
      <w:r w:rsidR="00E32A4C" w:rsidRPr="00BC05BA">
        <w:rPr>
          <w:b/>
          <w:u w:val="single"/>
        </w:rPr>
        <w:t>, līgumcena:</w:t>
      </w:r>
    </w:p>
    <w:tbl>
      <w:tblPr>
        <w:tblW w:w="105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528"/>
        <w:gridCol w:w="1661"/>
        <w:gridCol w:w="973"/>
        <w:gridCol w:w="974"/>
        <w:gridCol w:w="973"/>
        <w:gridCol w:w="973"/>
        <w:gridCol w:w="974"/>
        <w:gridCol w:w="974"/>
      </w:tblGrid>
      <w:tr w:rsidR="00F1790E" w:rsidRPr="00EF1F3E" w:rsidTr="000D5B0F">
        <w:trPr>
          <w:cantSplit/>
          <w:trHeight w:val="89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FD32DE" w:rsidRDefault="00F1790E" w:rsidP="000D5B0F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FD32DE" w:rsidRDefault="00F1790E" w:rsidP="000D5B0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FD32DE" w:rsidRDefault="00F1790E" w:rsidP="000D5B0F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Default="00F1790E" w:rsidP="000D5B0F">
            <w:pPr>
              <w:jc w:val="center"/>
              <w:rPr>
                <w:sz w:val="20"/>
                <w:szCs w:val="20"/>
              </w:rPr>
            </w:pPr>
            <w:r w:rsidRPr="00EF1F3E">
              <w:rPr>
                <w:sz w:val="20"/>
                <w:szCs w:val="20"/>
              </w:rPr>
              <w:t xml:space="preserve">1. daļa - </w:t>
            </w:r>
            <w:r w:rsidRPr="00ED3CA4">
              <w:rPr>
                <w:sz w:val="20"/>
                <w:szCs w:val="20"/>
              </w:rPr>
              <w:t>“Zaļenieku pagasta kultūras nama energoefektivitāte un teritorijas labiekārtošana”</w:t>
            </w:r>
          </w:p>
          <w:p w:rsidR="00F1790E" w:rsidRPr="00EF1F3E" w:rsidRDefault="00F1790E" w:rsidP="000D5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3CA4">
              <w:rPr>
                <w:sz w:val="20"/>
                <w:szCs w:val="20"/>
              </w:rPr>
              <w:t>Piedāvājuma cena, EUR bez PVN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Default="00F1790E" w:rsidP="000D5B0F">
            <w:pPr>
              <w:jc w:val="center"/>
              <w:rPr>
                <w:sz w:val="20"/>
                <w:szCs w:val="20"/>
              </w:rPr>
            </w:pPr>
            <w:r w:rsidRPr="00EF1F3E">
              <w:rPr>
                <w:sz w:val="20"/>
                <w:szCs w:val="20"/>
              </w:rPr>
              <w:t xml:space="preserve">2. daļa - </w:t>
            </w:r>
            <w:r w:rsidRPr="00ED3CA4">
              <w:rPr>
                <w:sz w:val="20"/>
                <w:szCs w:val="20"/>
              </w:rPr>
              <w:t>“SARC Elejas filiāles ēku energoefektivitāte un teritorijas labiekārtošana</w:t>
            </w:r>
            <w:r>
              <w:rPr>
                <w:sz w:val="20"/>
                <w:szCs w:val="20"/>
              </w:rPr>
              <w:t>”</w:t>
            </w:r>
          </w:p>
          <w:p w:rsidR="00F1790E" w:rsidRPr="00EF1F3E" w:rsidRDefault="00F1790E" w:rsidP="000D5B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D3CA4">
              <w:rPr>
                <w:sz w:val="20"/>
                <w:szCs w:val="20"/>
              </w:rPr>
              <w:t>Piedāvājuma cena, EUR bez PVN</w:t>
            </w:r>
            <w:r>
              <w:rPr>
                <w:sz w:val="20"/>
                <w:szCs w:val="20"/>
              </w:rPr>
              <w:t>)</w:t>
            </w:r>
          </w:p>
        </w:tc>
      </w:tr>
      <w:tr w:rsidR="00F1790E" w:rsidRPr="00EF1F3E" w:rsidTr="000D5B0F">
        <w:trPr>
          <w:cantSplit/>
          <w:trHeight w:val="89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FD32DE" w:rsidRDefault="00F1790E" w:rsidP="000D5B0F">
            <w:pPr>
              <w:rPr>
                <w:sz w:val="20"/>
                <w:szCs w:val="20"/>
              </w:rPr>
            </w:pP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FD32DE" w:rsidRDefault="00F1790E" w:rsidP="000D5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FD32DE" w:rsidRDefault="00F1790E" w:rsidP="000D5B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Default="00F1790E" w:rsidP="000D5B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Būvpr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1790E" w:rsidRPr="00EF1F3E" w:rsidRDefault="00F1790E" w:rsidP="000D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izstrāde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EF1F3E" w:rsidRDefault="00F1790E" w:rsidP="000D5B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Autoruzr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EF1F3E" w:rsidRDefault="00F1790E" w:rsidP="000D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Default="00F1790E" w:rsidP="000D5B0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Būvpr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F1790E" w:rsidRPr="00EF1F3E" w:rsidRDefault="00F1790E" w:rsidP="000D5B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izstrāde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EF1F3E" w:rsidRDefault="00F1790E" w:rsidP="000D5B0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Autoruzr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1790E" w:rsidRPr="00EF1F3E" w:rsidRDefault="00F1790E" w:rsidP="000D5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Kopā</w:t>
            </w:r>
          </w:p>
        </w:tc>
      </w:tr>
      <w:tr w:rsidR="00F1790E" w:rsidRPr="005A200A" w:rsidTr="000D5B0F">
        <w:trPr>
          <w:cantSplit/>
          <w:trHeight w:val="41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Default="00F1790E" w:rsidP="000D5B0F">
            <w:r>
              <w:t>1.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Default="00F1790E" w:rsidP="000D5B0F">
            <w:r>
              <w:t>SIA ”</w:t>
            </w:r>
            <w:proofErr w:type="spellStart"/>
            <w:r>
              <w:t>Baltex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>”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Default="00F1790E" w:rsidP="000D5B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19.06.2017 </w:t>
            </w:r>
          </w:p>
          <w:p w:rsidR="00F1790E" w:rsidRPr="00030BAD" w:rsidRDefault="00F1790E" w:rsidP="000D5B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9 00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Pr="005A200A" w:rsidRDefault="00F1790E" w:rsidP="000D5B0F">
            <w:pPr>
              <w:jc w:val="center"/>
              <w:rPr>
                <w:color w:val="000000"/>
                <w:sz w:val="20"/>
                <w:szCs w:val="20"/>
              </w:rPr>
            </w:pPr>
            <w:r w:rsidRPr="005A200A">
              <w:rPr>
                <w:color w:val="000000"/>
                <w:sz w:val="20"/>
                <w:szCs w:val="20"/>
              </w:rPr>
              <w:t>52100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Pr="005A200A" w:rsidRDefault="00F1790E" w:rsidP="000D5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Pr="005A200A" w:rsidRDefault="00F1790E" w:rsidP="000D5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Pr="005A200A" w:rsidRDefault="00F1790E" w:rsidP="000D5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Pr="005A200A" w:rsidRDefault="00F1790E" w:rsidP="000D5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90E" w:rsidRPr="005A200A" w:rsidRDefault="00F1790E" w:rsidP="000D5B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37300</w:t>
            </w:r>
          </w:p>
        </w:tc>
      </w:tr>
    </w:tbl>
    <w:p w:rsidR="0058615B" w:rsidRDefault="008A7E6D" w:rsidP="0058615B">
      <w:pPr>
        <w:spacing w:before="120" w:after="120"/>
        <w:ind w:left="-426"/>
        <w:jc w:val="both"/>
        <w:rPr>
          <w:i/>
        </w:rPr>
      </w:pPr>
      <w:bookmarkStart w:id="0" w:name="_GoBack"/>
      <w:bookmarkEnd w:id="0"/>
      <w:r w:rsidRPr="0058615B">
        <w:rPr>
          <w:u w:val="single"/>
        </w:rPr>
        <w:t>Iepirkuma komisijas kopējais pārskats par Pretendentu/Piedāvājumu atbilstības noteikšanu un vērtēšanu)</w:t>
      </w:r>
      <w:r>
        <w:rPr>
          <w:b/>
        </w:rPr>
        <w:t xml:space="preserve"> </w:t>
      </w:r>
      <w:r w:rsidRPr="00432C40">
        <w:t>(2</w:t>
      </w:r>
      <w:r>
        <w:t xml:space="preserve">017.g. </w:t>
      </w:r>
      <w:r w:rsidR="00DE69E7">
        <w:t>6.jūlija</w:t>
      </w:r>
      <w:proofErr w:type="gramStart"/>
      <w:r>
        <w:t xml:space="preserve">  </w:t>
      </w:r>
      <w:proofErr w:type="gramEnd"/>
      <w:r>
        <w:t>protokols Nr.</w:t>
      </w:r>
      <w:r w:rsidR="00DE69E7">
        <w:t>3</w:t>
      </w:r>
      <w:r w:rsidRPr="00432C40">
        <w:t>)</w:t>
      </w:r>
      <w:r w:rsidRPr="00432C40">
        <w:rPr>
          <w:i/>
        </w:rPr>
        <w:t>:</w:t>
      </w:r>
    </w:p>
    <w:p w:rsidR="0058615B" w:rsidRDefault="0058615B" w:rsidP="0058615B">
      <w:pPr>
        <w:spacing w:before="120" w:after="120"/>
        <w:ind w:left="-426"/>
        <w:jc w:val="both"/>
        <w:rPr>
          <w:i/>
        </w:rPr>
      </w:pPr>
      <w:r w:rsidRPr="0058615B">
        <w:rPr>
          <w:b/>
        </w:rPr>
        <w:t>1.daļa “Zaļenieku pagasta kultūras nama energoefektivitāte un teritorijas labiekārtošana”</w:t>
      </w:r>
      <w:r>
        <w:rPr>
          <w:b/>
        </w:rPr>
        <w:t>:</w:t>
      </w:r>
    </w:p>
    <w:p w:rsidR="0058615B" w:rsidRPr="00307433" w:rsidRDefault="0058615B" w:rsidP="0058615B">
      <w:pPr>
        <w:spacing w:before="120" w:after="120"/>
        <w:ind w:left="-426"/>
        <w:jc w:val="both"/>
        <w:rPr>
          <w:i/>
          <w:u w:val="single"/>
        </w:rPr>
      </w:pPr>
      <w:r>
        <w:t>I</w:t>
      </w:r>
      <w:r>
        <w:t xml:space="preserve">epirkuma komisija nolemj </w:t>
      </w:r>
      <w:r w:rsidRPr="006C777C">
        <w:rPr>
          <w:u w:val="single"/>
        </w:rPr>
        <w:t>pārtraukt</w:t>
      </w:r>
      <w:r w:rsidRPr="006C777C">
        <w:t xml:space="preserve"> </w:t>
      </w:r>
      <w:r>
        <w:t xml:space="preserve">iepirkuma </w:t>
      </w:r>
      <w:r w:rsidRPr="00FD4289">
        <w:t>“Būvprojekta izstrāde un autoruzraudzība Projektos “Zaļenieku pagasta kultūras nama energoefektivitāte un teritorijas labiekārtošana”, “SARC Elejas filiāles ēku energoefektivitāte un teritorijas labiekārtoša</w:t>
      </w:r>
      <w:r>
        <w:t>na”” (ID Nr. JNP 2017/43) 1.daļu</w:t>
      </w:r>
      <w:r w:rsidRPr="00FD4289">
        <w:t xml:space="preserve"> “Zaļenieku pagasta kultūras nama energoefektivitāte un teritorijas labiekārtošana”</w:t>
      </w:r>
      <w:r>
        <w:t xml:space="preserve"> </w:t>
      </w:r>
      <w:r w:rsidRPr="00307433">
        <w:rPr>
          <w:u w:val="single"/>
        </w:rPr>
        <w:t>sakarā ar finanšu līdzekļu nepietiekamību.</w:t>
      </w:r>
    </w:p>
    <w:p w:rsidR="0058615B" w:rsidRDefault="0058615B" w:rsidP="008A7E6D">
      <w:pPr>
        <w:spacing w:before="120" w:after="120"/>
        <w:ind w:left="-426"/>
        <w:jc w:val="both"/>
      </w:pPr>
    </w:p>
    <w:p w:rsidR="0058615B" w:rsidRPr="004B53A5" w:rsidRDefault="004B53A5" w:rsidP="008A7E6D">
      <w:pPr>
        <w:spacing w:before="120" w:after="120"/>
        <w:ind w:left="-426"/>
        <w:jc w:val="both"/>
        <w:rPr>
          <w:b/>
        </w:rPr>
      </w:pPr>
      <w:r w:rsidRPr="004B53A5">
        <w:rPr>
          <w:b/>
        </w:rPr>
        <w:t>2. daļa - “SARC Elejas filiāles ēku energoefektivitāte un teritorijas labiekārtošana”</w:t>
      </w:r>
      <w:r>
        <w:rPr>
          <w:b/>
        </w:rPr>
        <w:t>: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2"/>
        <w:gridCol w:w="72"/>
        <w:gridCol w:w="4678"/>
      </w:tblGrid>
      <w:tr w:rsidR="008A7E6D" w:rsidRPr="00BE19D6" w:rsidTr="00A56C3F">
        <w:tc>
          <w:tcPr>
            <w:tcW w:w="5104" w:type="dxa"/>
            <w:gridSpan w:val="2"/>
          </w:tcPr>
          <w:p w:rsidR="008A7E6D" w:rsidRPr="00BE19D6" w:rsidRDefault="008A7E6D" w:rsidP="00A56C3F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Prasības/Pretendents</w:t>
            </w:r>
          </w:p>
        </w:tc>
        <w:tc>
          <w:tcPr>
            <w:tcW w:w="4678" w:type="dxa"/>
          </w:tcPr>
          <w:p w:rsidR="008A7E6D" w:rsidRPr="00BE19D6" w:rsidRDefault="008A7E6D" w:rsidP="00A56C3F">
            <w:pPr>
              <w:spacing w:before="120" w:after="120"/>
              <w:jc w:val="center"/>
              <w:rPr>
                <w:b/>
              </w:rPr>
            </w:pPr>
            <w:r w:rsidRPr="00BE19D6">
              <w:rPr>
                <w:b/>
              </w:rPr>
              <w:t>Lēmums par piedāvājuma noraidīšanu vai virzīšanu tālākai vērtēšanai</w:t>
            </w:r>
          </w:p>
        </w:tc>
      </w:tr>
      <w:tr w:rsidR="008A7E6D" w:rsidRPr="00A01BA5" w:rsidTr="00A56C3F">
        <w:tc>
          <w:tcPr>
            <w:tcW w:w="9782" w:type="dxa"/>
            <w:gridSpan w:val="3"/>
          </w:tcPr>
          <w:p w:rsidR="008A7E6D" w:rsidRPr="00D862EA" w:rsidRDefault="008A7E6D" w:rsidP="00A56C3F">
            <w:pPr>
              <w:rPr>
                <w:b/>
              </w:rPr>
            </w:pPr>
            <w:r w:rsidRPr="00D862EA">
              <w:rPr>
                <w:b/>
              </w:rPr>
              <w:t>Pretendenta atbilstība kvalifikācijas prasībām, atlases dokumentiem:</w:t>
            </w:r>
          </w:p>
        </w:tc>
      </w:tr>
      <w:tr w:rsidR="00E74CA7" w:rsidRPr="00A01BA5" w:rsidTr="00A56C3F">
        <w:tc>
          <w:tcPr>
            <w:tcW w:w="5104" w:type="dxa"/>
            <w:gridSpan w:val="2"/>
          </w:tcPr>
          <w:p w:rsidR="00E74CA7" w:rsidRDefault="004B53A5" w:rsidP="00A56C3F">
            <w:r w:rsidRPr="004B53A5">
              <w:t>SIA ”</w:t>
            </w:r>
            <w:proofErr w:type="spellStart"/>
            <w:r w:rsidRPr="004B53A5">
              <w:t>Baltex</w:t>
            </w:r>
            <w:proofErr w:type="spellEnd"/>
            <w:r w:rsidRPr="004B53A5">
              <w:t xml:space="preserve"> </w:t>
            </w:r>
            <w:proofErr w:type="spellStart"/>
            <w:r w:rsidRPr="004B53A5">
              <w:t>Group</w:t>
            </w:r>
            <w:proofErr w:type="spellEnd"/>
            <w:r w:rsidRPr="004B53A5">
              <w:t>”</w:t>
            </w:r>
          </w:p>
        </w:tc>
        <w:tc>
          <w:tcPr>
            <w:tcW w:w="4678" w:type="dxa"/>
          </w:tcPr>
          <w:p w:rsidR="00E74CA7" w:rsidRDefault="00E74CA7" w:rsidP="00A56C3F">
            <w:r w:rsidRPr="00DC71E7">
              <w:t>Pretendents atbilst kvalifikācijas prasībām</w:t>
            </w:r>
          </w:p>
        </w:tc>
      </w:tr>
      <w:tr w:rsidR="00E74CA7" w:rsidRPr="00D862EA" w:rsidTr="00A56C3F">
        <w:tc>
          <w:tcPr>
            <w:tcW w:w="9782" w:type="dxa"/>
            <w:gridSpan w:val="3"/>
          </w:tcPr>
          <w:p w:rsidR="00E74CA7" w:rsidRPr="00D862EA" w:rsidRDefault="00E74CA7" w:rsidP="00A56C3F">
            <w:pPr>
              <w:rPr>
                <w:b/>
              </w:rPr>
            </w:pPr>
            <w:r w:rsidRPr="00D862EA">
              <w:rPr>
                <w:b/>
              </w:rPr>
              <w:t>Tehniskā piedāvājuma atbilstība:</w:t>
            </w:r>
          </w:p>
        </w:tc>
      </w:tr>
      <w:tr w:rsidR="001E2236" w:rsidRPr="00CF0AEA" w:rsidTr="00A56C3F">
        <w:tc>
          <w:tcPr>
            <w:tcW w:w="5104" w:type="dxa"/>
            <w:gridSpan w:val="2"/>
          </w:tcPr>
          <w:p w:rsidR="001E2236" w:rsidRDefault="004B53A5" w:rsidP="00A56C3F">
            <w:r w:rsidRPr="004B53A5">
              <w:t>SIA ”</w:t>
            </w:r>
            <w:proofErr w:type="spellStart"/>
            <w:r w:rsidRPr="004B53A5">
              <w:t>Baltex</w:t>
            </w:r>
            <w:proofErr w:type="spellEnd"/>
            <w:r w:rsidRPr="004B53A5">
              <w:t xml:space="preserve"> </w:t>
            </w:r>
            <w:proofErr w:type="spellStart"/>
            <w:r w:rsidRPr="004B53A5">
              <w:t>Group</w:t>
            </w:r>
            <w:proofErr w:type="spellEnd"/>
            <w:r w:rsidRPr="004B53A5">
              <w:t>”</w:t>
            </w:r>
          </w:p>
        </w:tc>
        <w:tc>
          <w:tcPr>
            <w:tcW w:w="4678" w:type="dxa"/>
          </w:tcPr>
          <w:p w:rsidR="001E2236" w:rsidRPr="00CF0AEA" w:rsidRDefault="001E2236" w:rsidP="00A56C3F">
            <w:r w:rsidRPr="00CF0AEA">
              <w:t>Pretendenta piedāvājums</w:t>
            </w:r>
            <w:proofErr w:type="gramStart"/>
            <w:r w:rsidRPr="00CF0AEA">
              <w:t xml:space="preserve">  </w:t>
            </w:r>
            <w:proofErr w:type="gramEnd"/>
            <w:r w:rsidRPr="00CF0AEA">
              <w:t>atbilst prasībām</w:t>
            </w:r>
          </w:p>
        </w:tc>
      </w:tr>
      <w:tr w:rsidR="001E2236" w:rsidRPr="001C2005" w:rsidTr="00A56C3F">
        <w:tc>
          <w:tcPr>
            <w:tcW w:w="9782" w:type="dxa"/>
            <w:gridSpan w:val="3"/>
          </w:tcPr>
          <w:p w:rsidR="001E2236" w:rsidRPr="001C2005" w:rsidRDefault="001E2236" w:rsidP="00A56C3F"/>
          <w:p w:rsidR="001E2236" w:rsidRPr="001C2005" w:rsidRDefault="001E2236" w:rsidP="00A56C3F">
            <w:pPr>
              <w:rPr>
                <w:b/>
              </w:rPr>
            </w:pPr>
            <w:r w:rsidRPr="001C2005">
              <w:rPr>
                <w:b/>
              </w:rPr>
              <w:t>Finanšu piedāvājums:</w:t>
            </w:r>
          </w:p>
        </w:tc>
      </w:tr>
      <w:tr w:rsidR="001E2236" w:rsidRPr="001C2005" w:rsidTr="00A56C3F">
        <w:tc>
          <w:tcPr>
            <w:tcW w:w="5032" w:type="dxa"/>
          </w:tcPr>
          <w:p w:rsidR="001E2236" w:rsidRDefault="004B53A5" w:rsidP="00A56C3F">
            <w:r w:rsidRPr="004B53A5">
              <w:t>SIA ”</w:t>
            </w:r>
            <w:proofErr w:type="spellStart"/>
            <w:r w:rsidRPr="004B53A5">
              <w:t>Baltex</w:t>
            </w:r>
            <w:proofErr w:type="spellEnd"/>
            <w:r w:rsidRPr="004B53A5">
              <w:t xml:space="preserve"> </w:t>
            </w:r>
            <w:proofErr w:type="spellStart"/>
            <w:r w:rsidRPr="004B53A5">
              <w:t>Group</w:t>
            </w:r>
            <w:proofErr w:type="spellEnd"/>
            <w:r w:rsidRPr="004B53A5">
              <w:t>”</w:t>
            </w:r>
          </w:p>
        </w:tc>
        <w:tc>
          <w:tcPr>
            <w:tcW w:w="4750" w:type="dxa"/>
            <w:gridSpan w:val="2"/>
          </w:tcPr>
          <w:p w:rsidR="001E2236" w:rsidRDefault="001E2236" w:rsidP="00CC2F18">
            <w:r w:rsidRPr="00F94ABB">
              <w:t>Pretendenta piedāvājums</w:t>
            </w:r>
            <w:proofErr w:type="gramStart"/>
            <w:r w:rsidRPr="00F94ABB">
              <w:t xml:space="preserve">  </w:t>
            </w:r>
            <w:proofErr w:type="gramEnd"/>
            <w:r w:rsidRPr="00F94ABB">
              <w:t>atbilst prasībām</w:t>
            </w:r>
          </w:p>
        </w:tc>
      </w:tr>
      <w:tr w:rsidR="001E2236" w:rsidRPr="001C2005" w:rsidTr="00A56C3F">
        <w:tc>
          <w:tcPr>
            <w:tcW w:w="9782" w:type="dxa"/>
            <w:gridSpan w:val="3"/>
          </w:tcPr>
          <w:p w:rsidR="001E2236" w:rsidRPr="006137DC" w:rsidRDefault="001E2236" w:rsidP="00A56C3F">
            <w:pPr>
              <w:jc w:val="center"/>
              <w:rPr>
                <w:b/>
                <w:u w:val="single"/>
              </w:rPr>
            </w:pPr>
            <w:r w:rsidRPr="006137DC">
              <w:rPr>
                <w:b/>
                <w:u w:val="single"/>
              </w:rPr>
              <w:t>Piedāvājuma izvēle:</w:t>
            </w:r>
          </w:p>
          <w:p w:rsidR="001E2236" w:rsidRPr="001C2005" w:rsidRDefault="001E2236" w:rsidP="00A56C3F"/>
        </w:tc>
      </w:tr>
      <w:tr w:rsidR="001E2236" w:rsidRPr="001C2005" w:rsidTr="00A56C3F">
        <w:tc>
          <w:tcPr>
            <w:tcW w:w="5032" w:type="dxa"/>
          </w:tcPr>
          <w:p w:rsidR="001E2236" w:rsidRPr="006137DC" w:rsidRDefault="00CC2F18" w:rsidP="001E2236">
            <w:pPr>
              <w:jc w:val="center"/>
              <w:rPr>
                <w:b/>
              </w:rPr>
            </w:pPr>
            <w:r w:rsidRPr="00CC2F18">
              <w:rPr>
                <w:b/>
              </w:rPr>
              <w:t>SIA ”</w:t>
            </w:r>
            <w:proofErr w:type="spellStart"/>
            <w:r w:rsidRPr="00CC2F18">
              <w:rPr>
                <w:b/>
              </w:rPr>
              <w:t>Baltex</w:t>
            </w:r>
            <w:proofErr w:type="spellEnd"/>
            <w:r w:rsidRPr="00CC2F18">
              <w:rPr>
                <w:b/>
              </w:rPr>
              <w:t xml:space="preserve"> </w:t>
            </w:r>
            <w:proofErr w:type="spellStart"/>
            <w:r w:rsidRPr="00CC2F18">
              <w:rPr>
                <w:b/>
              </w:rPr>
              <w:t>Group</w:t>
            </w:r>
            <w:proofErr w:type="spellEnd"/>
            <w:r w:rsidRPr="00CC2F18">
              <w:rPr>
                <w:b/>
              </w:rPr>
              <w:t>”</w:t>
            </w:r>
          </w:p>
        </w:tc>
        <w:tc>
          <w:tcPr>
            <w:tcW w:w="4750" w:type="dxa"/>
            <w:gridSpan w:val="2"/>
          </w:tcPr>
          <w:p w:rsidR="001E2236" w:rsidRDefault="001E2236" w:rsidP="00A56C3F">
            <w:pPr>
              <w:jc w:val="both"/>
            </w:pPr>
            <w:r w:rsidRPr="006137DC">
              <w:t>Komisija pieņem lēmumu slēgt līgumu ar</w:t>
            </w:r>
            <w:r w:rsidR="00D8209C">
              <w:t xml:space="preserve"> </w:t>
            </w:r>
            <w:r w:rsidR="00CC2F18" w:rsidRPr="00CC2F18">
              <w:t>SIA ”</w:t>
            </w:r>
            <w:proofErr w:type="spellStart"/>
            <w:r w:rsidR="00CC2F18" w:rsidRPr="00CC2F18">
              <w:t>Baltex</w:t>
            </w:r>
            <w:proofErr w:type="spellEnd"/>
            <w:r w:rsidR="00CC2F18" w:rsidRPr="00CC2F18">
              <w:t xml:space="preserve"> </w:t>
            </w:r>
            <w:proofErr w:type="spellStart"/>
            <w:r w:rsidR="00CC2F18" w:rsidRPr="00CC2F18">
              <w:t>Group</w:t>
            </w:r>
            <w:proofErr w:type="spellEnd"/>
            <w:r w:rsidR="00CC2F18" w:rsidRPr="00CC2F18">
              <w:t>”</w:t>
            </w:r>
            <w:r w:rsidR="00CC2F18">
              <w:t>,</w:t>
            </w:r>
            <w:r w:rsidRPr="006137DC">
              <w:t xml:space="preserve"> kura piedāvājums atbilst Nolikuma prasībām</w:t>
            </w:r>
            <w:r>
              <w:t xml:space="preserve"> </w:t>
            </w:r>
          </w:p>
          <w:p w:rsidR="001E2236" w:rsidRPr="00153037" w:rsidRDefault="001E2236" w:rsidP="00A56C3F">
            <w:pPr>
              <w:jc w:val="both"/>
              <w:rPr>
                <w:b/>
              </w:rPr>
            </w:pPr>
          </w:p>
        </w:tc>
      </w:tr>
    </w:tbl>
    <w:p w:rsidR="00A50540" w:rsidRPr="009122F2" w:rsidRDefault="00A50540" w:rsidP="00A50540">
      <w:pPr>
        <w:jc w:val="both"/>
        <w:rPr>
          <w:u w:val="single"/>
        </w:rPr>
      </w:pPr>
      <w:r w:rsidRPr="009122F2">
        <w:rPr>
          <w:u w:val="single"/>
        </w:rPr>
        <w:t xml:space="preserve">Pamatojums atbilstoši </w:t>
      </w:r>
      <w:r w:rsidR="00170F1F" w:rsidRPr="009122F2">
        <w:rPr>
          <w:u w:val="single"/>
        </w:rPr>
        <w:t>PIL 40.pantam un ievērojot MK noteikumu</w:t>
      </w:r>
      <w:r w:rsidR="009122F2">
        <w:rPr>
          <w:u w:val="single"/>
        </w:rPr>
        <w:t xml:space="preserve"> Nr.107 </w:t>
      </w:r>
      <w:r w:rsidR="00925DAD">
        <w:rPr>
          <w:u w:val="single"/>
        </w:rPr>
        <w:t>noteikto kārtību un saturu</w:t>
      </w:r>
      <w:r w:rsidRPr="009122F2">
        <w:rPr>
          <w:u w:val="single"/>
        </w:rPr>
        <w:t>:</w:t>
      </w:r>
    </w:p>
    <w:p w:rsidR="00001F3D" w:rsidRDefault="00A50540" w:rsidP="00A50540">
      <w:pPr>
        <w:jc w:val="both"/>
      </w:pPr>
      <w:r w:rsidRPr="009226A9">
        <w:t xml:space="preserve">Piedāvājumu </w:t>
      </w:r>
      <w:r w:rsidRPr="008F45DC">
        <w:t xml:space="preserve">(iepirkumā) atklātā konkursā ir iesniedzis </w:t>
      </w:r>
      <w:r w:rsidRPr="00F74BEA">
        <w:rPr>
          <w:u w:val="single"/>
        </w:rPr>
        <w:t>viens pretendents</w:t>
      </w:r>
      <w:r>
        <w:t xml:space="preserve">. </w:t>
      </w:r>
      <w:r w:rsidRPr="00F63A53">
        <w:t>Atklāta konkursa nolikumā ietvertās pretendentu atlases pras</w:t>
      </w:r>
      <w:r w:rsidR="00B91B72">
        <w:t>ības ir objektīvas un samērīgas, ir izvirzītas obligātas prasības,</w:t>
      </w:r>
      <w:r w:rsidR="00B91B72" w:rsidRPr="00B91B72">
        <w:t xml:space="preserve"> kas attiecas uz pretendenta tiesībām un spējām veikt līguma izpildi.</w:t>
      </w:r>
      <w:r w:rsidR="00B91B72" w:rsidRPr="00B91B72">
        <w:tab/>
      </w:r>
      <w:r w:rsidRPr="00F63A53">
        <w:t xml:space="preserve"> </w:t>
      </w:r>
      <w:r w:rsidR="006672A7">
        <w:t>Iepirkuma procedūras laikā n</w:t>
      </w:r>
      <w:r w:rsidR="005A463E">
        <w:t xml:space="preserve">etika </w:t>
      </w:r>
      <w:r w:rsidRPr="008F45DC">
        <w:t>izteikti nekādi iebildumi par atklāta konkursa nolikumā ietvertajām pretendentu atlases prasībām vai citiem nolikuma nosacījumiem.</w:t>
      </w:r>
      <w:r w:rsidRPr="003C17C7">
        <w:t xml:space="preserve"> </w:t>
      </w:r>
    </w:p>
    <w:p w:rsidR="00EF622D" w:rsidRPr="009226A9" w:rsidRDefault="00A50540" w:rsidP="001A0E65">
      <w:pPr>
        <w:jc w:val="both"/>
      </w:pPr>
      <w:r>
        <w:t>Konkursa Nolikumā</w:t>
      </w:r>
      <w:r w:rsidRPr="003C17C7">
        <w:t xml:space="preserve"> netiek izvirzīti speciāli noteikumi, kas ierobežotu iespējamo piegādātāju loku</w:t>
      </w:r>
      <w:r>
        <w:t>.</w:t>
      </w:r>
      <w:r w:rsidR="00001F3D" w:rsidRPr="00001F3D">
        <w:t xml:space="preserve"> </w:t>
      </w:r>
      <w:r w:rsidR="001A0E65" w:rsidRPr="001A0E65">
        <w:t>Konkrētajā tirgū ir vairāki piegādātāji, kas atbilst pasūtītāja noteiktajām atlases prasībām</w:t>
      </w:r>
      <w:r w:rsidR="001A0E65">
        <w:t>, bet p</w:t>
      </w:r>
      <w:r w:rsidR="00B91B72">
        <w:t xml:space="preserve">rojektēšanas iepirkumos </w:t>
      </w:r>
      <w:r w:rsidR="009E23FF">
        <w:t xml:space="preserve">piedalās </w:t>
      </w:r>
      <w:r w:rsidR="00B91B72" w:rsidRPr="00B91B72">
        <w:t>maz pretendentu</w:t>
      </w:r>
      <w:r w:rsidR="001A0E65">
        <w:t xml:space="preserve"> (parasti viens vai divi un trīs). K</w:t>
      </w:r>
      <w:r w:rsidR="001A0E65" w:rsidRPr="001A0E65">
        <w:t xml:space="preserve">onkrētajā iepirkuma procedūrā piegādātāji nav iesnieguši piedāvājumus nevis atlases prasību, bet citu iemeslu dēļ: nav ieinteresēti iegūt konkrētā līguma slēgšanas tiesības iepirkuma apjoma dēļ, vai arī tādēļ, ka ir aizņemti līdzīgu līgumu izpildē konkrētajā laika </w:t>
      </w:r>
      <w:proofErr w:type="spellStart"/>
      <w:r w:rsidR="001A0E65" w:rsidRPr="001A0E65">
        <w:t>periodā.</w:t>
      </w:r>
      <w:r w:rsidR="00EF622D" w:rsidRPr="009226A9">
        <w:t>Pasūtītājs</w:t>
      </w:r>
      <w:proofErr w:type="spellEnd"/>
      <w:r w:rsidR="00EF622D" w:rsidRPr="009226A9">
        <w:t xml:space="preserve"> nekādā veidā nevar ietekmēt ieinteresēto piegādātāju /pretendentu vēlmi iesniegt vai nē piedāvājumu atklātā konkursā.</w:t>
      </w:r>
    </w:p>
    <w:p w:rsidR="008A7E6D" w:rsidRPr="00153037" w:rsidRDefault="008A7E6D" w:rsidP="008A7E6D">
      <w:pPr>
        <w:spacing w:before="120" w:after="120"/>
        <w:jc w:val="both"/>
      </w:pPr>
      <w:r w:rsidRPr="00153037">
        <w:rPr>
          <w:b/>
          <w:u w:val="single"/>
        </w:rPr>
        <w:t xml:space="preserve">Pretendenta </w:t>
      </w:r>
      <w:proofErr w:type="spellStart"/>
      <w:r w:rsidRPr="00153037">
        <w:rPr>
          <w:b/>
          <w:u w:val="single"/>
        </w:rPr>
        <w:t>nosaukums,reģistrācijas</w:t>
      </w:r>
      <w:proofErr w:type="spellEnd"/>
      <w:r w:rsidRPr="00153037">
        <w:rPr>
          <w:b/>
          <w:u w:val="single"/>
        </w:rPr>
        <w:t xml:space="preserve"> numurs, adrese, ar kuru nolemts slēgt iepirkuma līgumu, piedāvāta līgumcena:</w:t>
      </w:r>
    </w:p>
    <w:p w:rsidR="008A7E6D" w:rsidRDefault="00547A56" w:rsidP="001A37B9">
      <w:pPr>
        <w:jc w:val="both"/>
      </w:pPr>
      <w:r w:rsidRPr="00547A56">
        <w:t>SIA ”</w:t>
      </w:r>
      <w:proofErr w:type="spellStart"/>
      <w:r w:rsidRPr="00547A56">
        <w:t>Baltex</w:t>
      </w:r>
      <w:proofErr w:type="spellEnd"/>
      <w:r w:rsidRPr="00547A56">
        <w:t xml:space="preserve"> </w:t>
      </w:r>
      <w:proofErr w:type="spellStart"/>
      <w:r w:rsidRPr="00547A56">
        <w:t>Group</w:t>
      </w:r>
      <w:proofErr w:type="spellEnd"/>
      <w:r w:rsidRPr="00547A56">
        <w:t>”</w:t>
      </w:r>
      <w:r w:rsidR="008A7E6D" w:rsidRPr="00051DD9">
        <w:t xml:space="preserve">, </w:t>
      </w:r>
      <w:r w:rsidR="001A37B9">
        <w:t>Dīķa iela, Rīga, LV-1004</w:t>
      </w:r>
      <w:r w:rsidR="00D827DB" w:rsidRPr="00D827DB">
        <w:t>, reģistrācijas nr.</w:t>
      </w:r>
      <w:r w:rsidR="001A37B9">
        <w:t>40103274353</w:t>
      </w:r>
    </w:p>
    <w:p w:rsidR="008A7E6D" w:rsidRPr="00153037" w:rsidRDefault="008A7E6D" w:rsidP="001A37B9">
      <w:pPr>
        <w:jc w:val="both"/>
      </w:pPr>
      <w:r w:rsidRPr="00153037">
        <w:t xml:space="preserve">Piedāvājuma cena: </w:t>
      </w:r>
    </w:p>
    <w:p w:rsidR="008A7E6D" w:rsidRPr="00153037" w:rsidRDefault="008A7E6D" w:rsidP="001A37B9">
      <w:pPr>
        <w:numPr>
          <w:ilvl w:val="0"/>
          <w:numId w:val="17"/>
        </w:numPr>
        <w:contextualSpacing/>
        <w:jc w:val="both"/>
      </w:pPr>
      <w:r w:rsidRPr="00153037">
        <w:t>EUR</w:t>
      </w:r>
      <w:r w:rsidR="00C37758">
        <w:t xml:space="preserve"> </w:t>
      </w:r>
      <w:r w:rsidR="00547A56">
        <w:t xml:space="preserve">37300 </w:t>
      </w:r>
      <w:r w:rsidRPr="00153037">
        <w:t xml:space="preserve">bez PVN, </w:t>
      </w:r>
    </w:p>
    <w:p w:rsidR="008A7E6D" w:rsidRPr="00153037" w:rsidRDefault="008A7E6D" w:rsidP="001A37B9">
      <w:pPr>
        <w:numPr>
          <w:ilvl w:val="0"/>
          <w:numId w:val="17"/>
        </w:numPr>
        <w:contextualSpacing/>
        <w:jc w:val="both"/>
      </w:pPr>
      <w:r w:rsidRPr="00153037">
        <w:t>EUR</w:t>
      </w:r>
      <w:proofErr w:type="gramStart"/>
      <w:r w:rsidRPr="00153037">
        <w:t xml:space="preserve">  </w:t>
      </w:r>
      <w:proofErr w:type="gramEnd"/>
      <w:r w:rsidR="00547A56">
        <w:t xml:space="preserve">7833 </w:t>
      </w:r>
      <w:r w:rsidR="00C37758">
        <w:t xml:space="preserve">  </w:t>
      </w:r>
      <w:r w:rsidRPr="00153037">
        <w:t xml:space="preserve">21 % PVN, </w:t>
      </w:r>
    </w:p>
    <w:p w:rsidR="008A7E6D" w:rsidRPr="00153037" w:rsidRDefault="008A7E6D" w:rsidP="001A37B9">
      <w:pPr>
        <w:numPr>
          <w:ilvl w:val="0"/>
          <w:numId w:val="17"/>
        </w:numPr>
        <w:contextualSpacing/>
        <w:jc w:val="both"/>
      </w:pPr>
      <w:r w:rsidRPr="00153037">
        <w:t xml:space="preserve">EUR </w:t>
      </w:r>
      <w:r w:rsidR="00547A56">
        <w:t>45133</w:t>
      </w:r>
      <w:proofErr w:type="gramStart"/>
      <w:r w:rsidR="00C37758">
        <w:t xml:space="preserve">  </w:t>
      </w:r>
      <w:proofErr w:type="gramEnd"/>
      <w:r w:rsidRPr="00153037">
        <w:t>ar PVN.</w:t>
      </w:r>
    </w:p>
    <w:p w:rsidR="008A7E6D" w:rsidRDefault="008A7E6D" w:rsidP="008A7E6D">
      <w:pPr>
        <w:jc w:val="both"/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8A661F" w:rsidRDefault="008A661F" w:rsidP="008A661F">
      <w:r w:rsidRPr="009F75A9">
        <w:t>Iepirkuma komisijas priekšsēdētāja</w:t>
      </w:r>
      <w:proofErr w:type="gramStart"/>
      <w:r w:rsidRPr="009F75A9">
        <w:t xml:space="preserve">                                        </w:t>
      </w:r>
      <w:proofErr w:type="spellStart"/>
      <w:proofErr w:type="gramEnd"/>
      <w:r w:rsidRPr="009F75A9">
        <w:t>A.Udalova</w:t>
      </w:r>
      <w:proofErr w:type="spellEnd"/>
    </w:p>
    <w:p w:rsidR="00D827DB" w:rsidRDefault="00D827DB" w:rsidP="008A661F"/>
    <w:p w:rsidR="008A661F" w:rsidRPr="009F75A9" w:rsidRDefault="008A661F" w:rsidP="008A661F"/>
    <w:p w:rsidR="008A661F" w:rsidRPr="009F75A9" w:rsidRDefault="008A661F" w:rsidP="008A661F">
      <w:pPr>
        <w:tabs>
          <w:tab w:val="left" w:pos="7230"/>
        </w:tabs>
      </w:pPr>
      <w:r w:rsidRPr="009F75A9">
        <w:t xml:space="preserve"> </w:t>
      </w:r>
      <w:r>
        <w:t>Iepirkumu</w:t>
      </w:r>
      <w:r w:rsidRPr="009F75A9">
        <w:t xml:space="preserve"> </w:t>
      </w:r>
      <w:r>
        <w:t>speciāliste</w:t>
      </w:r>
      <w:proofErr w:type="gramStart"/>
      <w:r>
        <w:t xml:space="preserve">                                                             </w:t>
      </w:r>
      <w:proofErr w:type="spellStart"/>
      <w:proofErr w:type="gramEnd"/>
      <w:r w:rsidRPr="009F75A9">
        <w:t>A.Kanberga</w:t>
      </w:r>
      <w:proofErr w:type="spellEnd"/>
    </w:p>
    <w:p w:rsidR="00BC1A15" w:rsidRDefault="00BC1A15" w:rsidP="00FE0390">
      <w:pPr>
        <w:jc w:val="both"/>
      </w:pPr>
    </w:p>
    <w:sectPr w:rsidR="00BC1A15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E0869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869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9E0869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1F3D"/>
    <w:rsid w:val="00012319"/>
    <w:rsid w:val="0001246D"/>
    <w:rsid w:val="00023EDB"/>
    <w:rsid w:val="00027DB8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1678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0F1F"/>
    <w:rsid w:val="00172F10"/>
    <w:rsid w:val="00181BF6"/>
    <w:rsid w:val="00184657"/>
    <w:rsid w:val="00192551"/>
    <w:rsid w:val="00194024"/>
    <w:rsid w:val="00196929"/>
    <w:rsid w:val="001A0E65"/>
    <w:rsid w:val="001A2B70"/>
    <w:rsid w:val="001A37B9"/>
    <w:rsid w:val="001D3EF3"/>
    <w:rsid w:val="001D58EB"/>
    <w:rsid w:val="001D6DA3"/>
    <w:rsid w:val="001E2236"/>
    <w:rsid w:val="001E69F2"/>
    <w:rsid w:val="001F1595"/>
    <w:rsid w:val="001F585D"/>
    <w:rsid w:val="002034E2"/>
    <w:rsid w:val="00213EF8"/>
    <w:rsid w:val="002406D9"/>
    <w:rsid w:val="00242F30"/>
    <w:rsid w:val="002465BB"/>
    <w:rsid w:val="002631F7"/>
    <w:rsid w:val="00273227"/>
    <w:rsid w:val="002950C8"/>
    <w:rsid w:val="002A3236"/>
    <w:rsid w:val="002A62F0"/>
    <w:rsid w:val="002B78A5"/>
    <w:rsid w:val="002D4965"/>
    <w:rsid w:val="002E197D"/>
    <w:rsid w:val="002F0358"/>
    <w:rsid w:val="002F3B65"/>
    <w:rsid w:val="002F5D92"/>
    <w:rsid w:val="00307433"/>
    <w:rsid w:val="003077D1"/>
    <w:rsid w:val="003178D7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2EA5"/>
    <w:rsid w:val="003853E8"/>
    <w:rsid w:val="00396AF6"/>
    <w:rsid w:val="003B6EF3"/>
    <w:rsid w:val="003B7C18"/>
    <w:rsid w:val="003C053C"/>
    <w:rsid w:val="003C0F92"/>
    <w:rsid w:val="003C646F"/>
    <w:rsid w:val="003D0CAE"/>
    <w:rsid w:val="003E0ABC"/>
    <w:rsid w:val="00403487"/>
    <w:rsid w:val="0040448D"/>
    <w:rsid w:val="00404975"/>
    <w:rsid w:val="004162B3"/>
    <w:rsid w:val="004205A7"/>
    <w:rsid w:val="00421DE3"/>
    <w:rsid w:val="0042294A"/>
    <w:rsid w:val="00442509"/>
    <w:rsid w:val="00443DD1"/>
    <w:rsid w:val="004454C8"/>
    <w:rsid w:val="0044553F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73D8"/>
    <w:rsid w:val="00497413"/>
    <w:rsid w:val="004A31CF"/>
    <w:rsid w:val="004A5CC0"/>
    <w:rsid w:val="004B53A5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47A56"/>
    <w:rsid w:val="0055197A"/>
    <w:rsid w:val="00565EF6"/>
    <w:rsid w:val="005729CA"/>
    <w:rsid w:val="0057441A"/>
    <w:rsid w:val="00577AB2"/>
    <w:rsid w:val="00581AA0"/>
    <w:rsid w:val="00581EF3"/>
    <w:rsid w:val="0058615B"/>
    <w:rsid w:val="00586964"/>
    <w:rsid w:val="00591580"/>
    <w:rsid w:val="00591A50"/>
    <w:rsid w:val="00592702"/>
    <w:rsid w:val="005940B9"/>
    <w:rsid w:val="005A463E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7529"/>
    <w:rsid w:val="00612117"/>
    <w:rsid w:val="00613D05"/>
    <w:rsid w:val="00617FC9"/>
    <w:rsid w:val="00641553"/>
    <w:rsid w:val="006445CF"/>
    <w:rsid w:val="00653942"/>
    <w:rsid w:val="00660E46"/>
    <w:rsid w:val="006616A0"/>
    <w:rsid w:val="00663F62"/>
    <w:rsid w:val="006672A7"/>
    <w:rsid w:val="006735C6"/>
    <w:rsid w:val="0067465E"/>
    <w:rsid w:val="006760D2"/>
    <w:rsid w:val="00680FDB"/>
    <w:rsid w:val="006828FE"/>
    <w:rsid w:val="006860EA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3BA1"/>
    <w:rsid w:val="008A5060"/>
    <w:rsid w:val="008A51DC"/>
    <w:rsid w:val="008A661F"/>
    <w:rsid w:val="008A7E6D"/>
    <w:rsid w:val="008C0197"/>
    <w:rsid w:val="008C1469"/>
    <w:rsid w:val="008C60F6"/>
    <w:rsid w:val="008C76B2"/>
    <w:rsid w:val="008C7797"/>
    <w:rsid w:val="008D0BD6"/>
    <w:rsid w:val="008D1E2D"/>
    <w:rsid w:val="008D34E4"/>
    <w:rsid w:val="008D7E82"/>
    <w:rsid w:val="009122F2"/>
    <w:rsid w:val="00912AC7"/>
    <w:rsid w:val="00920F7B"/>
    <w:rsid w:val="0092534F"/>
    <w:rsid w:val="00925DAD"/>
    <w:rsid w:val="00926E21"/>
    <w:rsid w:val="00927429"/>
    <w:rsid w:val="00930C4C"/>
    <w:rsid w:val="00933775"/>
    <w:rsid w:val="00945302"/>
    <w:rsid w:val="0094742D"/>
    <w:rsid w:val="00950F78"/>
    <w:rsid w:val="00956553"/>
    <w:rsid w:val="00980216"/>
    <w:rsid w:val="00981867"/>
    <w:rsid w:val="00986CAB"/>
    <w:rsid w:val="009A2DC6"/>
    <w:rsid w:val="009A49AC"/>
    <w:rsid w:val="009A5B10"/>
    <w:rsid w:val="009A6ED3"/>
    <w:rsid w:val="009B4CBD"/>
    <w:rsid w:val="009C40FD"/>
    <w:rsid w:val="009E0869"/>
    <w:rsid w:val="009E23FF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0540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23EFA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1B72"/>
    <w:rsid w:val="00B9559B"/>
    <w:rsid w:val="00B95C05"/>
    <w:rsid w:val="00B9682F"/>
    <w:rsid w:val="00B97145"/>
    <w:rsid w:val="00BA0A8C"/>
    <w:rsid w:val="00BB02DB"/>
    <w:rsid w:val="00BB1B74"/>
    <w:rsid w:val="00BB1E96"/>
    <w:rsid w:val="00BB541E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12AF5"/>
    <w:rsid w:val="00C147FB"/>
    <w:rsid w:val="00C17B89"/>
    <w:rsid w:val="00C2174E"/>
    <w:rsid w:val="00C27F8A"/>
    <w:rsid w:val="00C320F0"/>
    <w:rsid w:val="00C354B7"/>
    <w:rsid w:val="00C369EC"/>
    <w:rsid w:val="00C37758"/>
    <w:rsid w:val="00C54338"/>
    <w:rsid w:val="00C87252"/>
    <w:rsid w:val="00C90444"/>
    <w:rsid w:val="00CA145F"/>
    <w:rsid w:val="00CA2985"/>
    <w:rsid w:val="00CC2F18"/>
    <w:rsid w:val="00CD1077"/>
    <w:rsid w:val="00CF2C79"/>
    <w:rsid w:val="00CF5E37"/>
    <w:rsid w:val="00D00B4E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209C"/>
    <w:rsid w:val="00D827DB"/>
    <w:rsid w:val="00D8796E"/>
    <w:rsid w:val="00D93924"/>
    <w:rsid w:val="00DA7089"/>
    <w:rsid w:val="00DA725A"/>
    <w:rsid w:val="00DD56DE"/>
    <w:rsid w:val="00DE0DCD"/>
    <w:rsid w:val="00DE69E7"/>
    <w:rsid w:val="00E03E9B"/>
    <w:rsid w:val="00E042D9"/>
    <w:rsid w:val="00E32A4C"/>
    <w:rsid w:val="00E36391"/>
    <w:rsid w:val="00E41D0D"/>
    <w:rsid w:val="00E500AB"/>
    <w:rsid w:val="00E5187A"/>
    <w:rsid w:val="00E57501"/>
    <w:rsid w:val="00E63954"/>
    <w:rsid w:val="00E63FDE"/>
    <w:rsid w:val="00E74CA7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622D"/>
    <w:rsid w:val="00EF696E"/>
    <w:rsid w:val="00F07635"/>
    <w:rsid w:val="00F07A14"/>
    <w:rsid w:val="00F107A6"/>
    <w:rsid w:val="00F1790E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1CF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F807-7804-43AD-974C-06BB8595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310</cp:revision>
  <cp:lastPrinted>2014-09-30T10:17:00Z</cp:lastPrinted>
  <dcterms:created xsi:type="dcterms:W3CDTF">2015-01-08T08:53:00Z</dcterms:created>
  <dcterms:modified xsi:type="dcterms:W3CDTF">2017-07-06T11:53:00Z</dcterms:modified>
</cp:coreProperties>
</file>