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853CE7" w:rsidRDefault="002F1312" w:rsidP="00C03685">
      <w:pPr>
        <w:jc w:val="center"/>
        <w:rPr>
          <w:b/>
        </w:rPr>
      </w:pPr>
      <w:r w:rsidRPr="002F1312">
        <w:rPr>
          <w:b/>
        </w:rPr>
        <w:t>Būvprojekta izstrāde (ietverot inženierizpēti) projektam “Gājēju-veloceliņa izbūve Staļģenē”, Būvprojekta izstrāde (ietverot inženierizpēti) projektam “Gājēju – veloceliņa izbūve Sesavas pagastā”</w:t>
      </w:r>
      <w:r w:rsidR="007817CC" w:rsidRPr="007817CC">
        <w:rPr>
          <w:b/>
        </w:rPr>
        <w:tab/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FD7AE7">
        <w:rPr>
          <w:b/>
        </w:rPr>
        <w:t>72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802758">
        <w:t>3</w:t>
      </w:r>
      <w:r w:rsidR="00853CE7">
        <w:t>.</w:t>
      </w:r>
      <w:r w:rsidR="00802758">
        <w:t>oktobrī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02758">
        <w:t>JNP 2016/72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2F1312" w:rsidRPr="002F1312">
        <w:t>Būvprojekta izstrāde (ietverot inženierizpēti) projektam “Gājēju-veloceliņa izbūve Staļģenē”, Būvprojekta izstrāde (ietverot inženierizpēti) projektam “Gājēju – veloceliņa izbūve Sesavas pagastā”</w:t>
      </w:r>
      <w:r w:rsidR="002F1312">
        <w:t xml:space="preserve"> (</w:t>
      </w:r>
      <w:r w:rsidR="002F1312" w:rsidRPr="002F1312">
        <w:t>Saskaņā ar Ministru kabineta 2015.gada 13.oktobra, noteikumiem Nr.590</w:t>
      </w:r>
      <w:proofErr w:type="gramStart"/>
      <w:r w:rsidR="002F1312" w:rsidRPr="002F1312">
        <w:t xml:space="preserve"> ,,</w:t>
      </w:r>
      <w:proofErr w:type="gramEnd"/>
      <w:r w:rsidR="002F1312" w:rsidRPr="002F1312">
        <w:t xml:space="preserve">Valsts un Eiropas Savienības atbalsta piešķiršanas kārtība lauku attīstībai </w:t>
      </w:r>
      <w:proofErr w:type="spellStart"/>
      <w:r w:rsidR="002F1312" w:rsidRPr="002F1312">
        <w:t>apakšpasākumā</w:t>
      </w:r>
      <w:proofErr w:type="spellEnd"/>
      <w:r w:rsidR="002F1312" w:rsidRPr="002F1312">
        <w:t xml:space="preserve"> "Darbību īstenošana saskaņā ar sabiedrības virzītas vietējās attīstības stratēģiju"” un biedrības Lauku partnerība „Lielupe” izsludināto atklāto projektu konkursu Eiropas lauksaimniecības fonda lauku attīstībai (ELFLA) Latvijas Lauku attīstības programmas 2014.–2020.gadam </w:t>
      </w:r>
      <w:proofErr w:type="spellStart"/>
      <w:r w:rsidR="002F1312" w:rsidRPr="002F1312">
        <w:t>apakšpasākumu</w:t>
      </w:r>
      <w:proofErr w:type="spellEnd"/>
      <w:r w:rsidR="002F1312" w:rsidRPr="002F1312">
        <w:t xml:space="preserve"> 19.2. “Darbību īstenošana saskaņā ar sabiedrības virzītas vietējās attīstības stratēģiju” aktivitātē 19.2.2. „Vietas potenciāla attīstības iniciatīvas”, rīcībā Nr.2. „Apdzīvoto vietu publiskās infrastruktūras uzlabošana” īstenošanu</w:t>
      </w:r>
      <w:r w:rsidR="002F1312">
        <w:t>)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D7AE7">
        <w:t>15</w:t>
      </w:r>
      <w:r w:rsidR="00AD13F6">
        <w:t>.</w:t>
      </w:r>
      <w:r w:rsidR="004D7016">
        <w:t>0</w:t>
      </w:r>
      <w:r w:rsidR="00FD7AE7">
        <w:t>9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2F0358" w:rsidRPr="00354304" w:rsidRDefault="002F0358" w:rsidP="002F0358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F0358" w:rsidRDefault="002F0358" w:rsidP="002F0358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2F0358" w:rsidRPr="00924393" w:rsidRDefault="002F0358" w:rsidP="002F0358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2F0358" w:rsidRPr="00F72597" w:rsidRDefault="002F0358" w:rsidP="002F0358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2F0358" w:rsidRPr="00B76685" w:rsidTr="006262A4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F0358" w:rsidRPr="005D2AC3" w:rsidRDefault="002F0358" w:rsidP="006262A4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2F0358" w:rsidRPr="005D2AC3" w:rsidRDefault="002F0358" w:rsidP="006262A4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86A18">
        <w:t>29.</w:t>
      </w:r>
      <w:r w:rsidR="00C93A40">
        <w:t>septembrī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7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1093"/>
        <w:gridCol w:w="1215"/>
        <w:gridCol w:w="1053"/>
        <w:gridCol w:w="1238"/>
        <w:gridCol w:w="1195"/>
        <w:gridCol w:w="1195"/>
        <w:gridCol w:w="1196"/>
        <w:gridCol w:w="1196"/>
      </w:tblGrid>
      <w:tr w:rsidR="00C93A40" w:rsidRPr="00672CCA" w:rsidTr="00886990">
        <w:trPr>
          <w:cantSplit/>
          <w:trHeight w:val="10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93A40" w:rsidRDefault="00C93A40" w:rsidP="00886990">
            <w:pPr>
              <w:rPr>
                <w:sz w:val="20"/>
                <w:szCs w:val="20"/>
              </w:rPr>
            </w:pPr>
          </w:p>
          <w:p w:rsidR="00C93A40" w:rsidRDefault="00C93A40" w:rsidP="00886990">
            <w:pPr>
              <w:rPr>
                <w:sz w:val="20"/>
                <w:szCs w:val="20"/>
              </w:rPr>
            </w:pPr>
          </w:p>
          <w:p w:rsidR="00C93A40" w:rsidRDefault="00C93A40" w:rsidP="00886990">
            <w:pPr>
              <w:rPr>
                <w:sz w:val="20"/>
                <w:szCs w:val="20"/>
              </w:rPr>
            </w:pPr>
          </w:p>
          <w:p w:rsidR="00C93A40" w:rsidRDefault="00C93A40" w:rsidP="008869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Pret.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jur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personai –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>., fiziskai personai - vārds, uzvārds)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Pied.</w:t>
            </w:r>
          </w:p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Iesn</w:t>
            </w:r>
            <w:proofErr w:type="spellEnd"/>
            <w:r>
              <w:rPr>
                <w:sz w:val="20"/>
                <w:szCs w:val="20"/>
              </w:rPr>
              <w:t>. datums un laiks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Pr="00672CCA" w:rsidRDefault="00C93A40" w:rsidP="00886990">
            <w:pPr>
              <w:jc w:val="center"/>
              <w:rPr>
                <w:sz w:val="20"/>
                <w:szCs w:val="20"/>
              </w:rPr>
            </w:pPr>
            <w:r w:rsidRPr="00672CCA">
              <w:rPr>
                <w:sz w:val="20"/>
                <w:szCs w:val="20"/>
              </w:rPr>
              <w:t>Izmaksas (bez PVN)</w:t>
            </w:r>
          </w:p>
        </w:tc>
      </w:tr>
      <w:tr w:rsidR="00C93A40" w:rsidRPr="003D4632" w:rsidTr="00886990">
        <w:trPr>
          <w:cantSplit/>
          <w:trHeight w:val="56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1B7FA6">
              <w:rPr>
                <w:sz w:val="20"/>
                <w:szCs w:val="20"/>
              </w:rPr>
              <w:t>1.daļa - “Būvprojekta izstrāde (ietverot inženierizpēti) projektam “Gājēju – veloceliņa izbūve Staļģenē”</w:t>
            </w:r>
          </w:p>
        </w:tc>
        <w:tc>
          <w:tcPr>
            <w:tcW w:w="35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782273">
              <w:rPr>
                <w:sz w:val="20"/>
                <w:szCs w:val="20"/>
              </w:rPr>
              <w:t>2.daļa -“ Būvprojekta izstrāde (ietverot inženierizpēti) projektam “Gājēju – veloceliņa izbūve Sesavas pagastā</w:t>
            </w:r>
          </w:p>
        </w:tc>
      </w:tr>
      <w:tr w:rsidR="00C93A40" w:rsidRPr="003D4632" w:rsidTr="00886990">
        <w:trPr>
          <w:cantSplit/>
          <w:trHeight w:val="56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Būvpr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672CCA">
              <w:rPr>
                <w:sz w:val="20"/>
                <w:szCs w:val="20"/>
              </w:rPr>
              <w:t>izstrāde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proofErr w:type="spellStart"/>
            <w:r w:rsidRPr="001C355C">
              <w:rPr>
                <w:sz w:val="20"/>
                <w:szCs w:val="20"/>
              </w:rPr>
              <w:t>Inženier</w:t>
            </w:r>
            <w:proofErr w:type="spellEnd"/>
          </w:p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1C355C">
              <w:rPr>
                <w:sz w:val="20"/>
                <w:szCs w:val="20"/>
              </w:rPr>
              <w:t>izpēte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3705CD">
              <w:rPr>
                <w:sz w:val="20"/>
                <w:szCs w:val="20"/>
              </w:rPr>
              <w:t>Izmaksas kopā (bez PVN)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Būvpr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672CCA">
              <w:rPr>
                <w:sz w:val="20"/>
                <w:szCs w:val="20"/>
              </w:rPr>
              <w:t>izstrāde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Default="00C93A40" w:rsidP="00886990">
            <w:pPr>
              <w:jc w:val="center"/>
              <w:rPr>
                <w:sz w:val="20"/>
                <w:szCs w:val="20"/>
              </w:rPr>
            </w:pPr>
            <w:proofErr w:type="spellStart"/>
            <w:r w:rsidRPr="001C355C">
              <w:rPr>
                <w:sz w:val="20"/>
                <w:szCs w:val="20"/>
              </w:rPr>
              <w:t>Inženier</w:t>
            </w:r>
            <w:proofErr w:type="spellEnd"/>
          </w:p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1C355C">
              <w:rPr>
                <w:sz w:val="20"/>
                <w:szCs w:val="20"/>
              </w:rPr>
              <w:t>izpēte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3A40" w:rsidRPr="003D4632" w:rsidRDefault="00C93A40" w:rsidP="00886990">
            <w:pPr>
              <w:jc w:val="center"/>
              <w:rPr>
                <w:sz w:val="20"/>
                <w:szCs w:val="20"/>
              </w:rPr>
            </w:pPr>
            <w:r w:rsidRPr="003705CD">
              <w:rPr>
                <w:sz w:val="20"/>
                <w:szCs w:val="20"/>
              </w:rPr>
              <w:t>Izmaksas kopā (bez PVN)</w:t>
            </w:r>
          </w:p>
        </w:tc>
      </w:tr>
      <w:tr w:rsidR="00C93A40" w:rsidRPr="00FE06A1" w:rsidTr="00886990">
        <w:trPr>
          <w:cantSplit/>
          <w:trHeight w:val="4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40" w:rsidRPr="004163C9" w:rsidRDefault="00C93A40" w:rsidP="00886990">
            <w:pPr>
              <w:rPr>
                <w:sz w:val="22"/>
                <w:szCs w:val="22"/>
              </w:rPr>
            </w:pPr>
            <w:r w:rsidRPr="004163C9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4163C9" w:rsidRDefault="00C93A40" w:rsidP="00886990">
            <w:pPr>
              <w:rPr>
                <w:sz w:val="22"/>
                <w:szCs w:val="22"/>
              </w:rPr>
            </w:pPr>
            <w:r w:rsidRPr="004163C9">
              <w:rPr>
                <w:sz w:val="22"/>
                <w:szCs w:val="22"/>
              </w:rPr>
              <w:t>SIA “3C”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344324" w:rsidRDefault="00C93A40" w:rsidP="00886990">
            <w:pPr>
              <w:jc w:val="center"/>
              <w:rPr>
                <w:sz w:val="20"/>
                <w:szCs w:val="20"/>
              </w:rPr>
            </w:pPr>
            <w:r w:rsidRPr="00344324">
              <w:rPr>
                <w:sz w:val="20"/>
                <w:szCs w:val="20"/>
              </w:rPr>
              <w:t>28.09.2016</w:t>
            </w:r>
          </w:p>
          <w:p w:rsidR="00C93A40" w:rsidRPr="00617451" w:rsidRDefault="00C93A40" w:rsidP="00886990">
            <w:pPr>
              <w:jc w:val="center"/>
              <w:rPr>
                <w:sz w:val="22"/>
                <w:szCs w:val="22"/>
              </w:rPr>
            </w:pPr>
            <w:r w:rsidRPr="00344324">
              <w:rPr>
                <w:sz w:val="20"/>
                <w:szCs w:val="20"/>
              </w:rPr>
              <w:t>9 10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FE06A1" w:rsidRDefault="00C93A40" w:rsidP="00886990">
            <w:pPr>
              <w:jc w:val="center"/>
              <w:rPr>
                <w:color w:val="000000"/>
                <w:sz w:val="22"/>
                <w:szCs w:val="22"/>
              </w:rPr>
            </w:pPr>
            <w:r w:rsidRPr="00FE06A1"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FE06A1" w:rsidRDefault="00C93A40" w:rsidP="00886990">
            <w:pPr>
              <w:jc w:val="center"/>
              <w:rPr>
                <w:color w:val="000000"/>
                <w:sz w:val="22"/>
                <w:szCs w:val="22"/>
              </w:rPr>
            </w:pPr>
            <w:r w:rsidRPr="00FE06A1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FE06A1" w:rsidRDefault="00C93A40" w:rsidP="008869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FE06A1" w:rsidRDefault="00C93A40" w:rsidP="008869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FE06A1" w:rsidRDefault="00C93A40" w:rsidP="008869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40" w:rsidRPr="00FE06A1" w:rsidRDefault="00C93A40" w:rsidP="008869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4705</w:t>
            </w:r>
          </w:p>
        </w:tc>
      </w:tr>
    </w:tbl>
    <w:p w:rsidR="00486A18" w:rsidRDefault="00486A18" w:rsidP="00AF4AA3">
      <w:pPr>
        <w:ind w:right="878"/>
        <w:jc w:val="both"/>
        <w:rPr>
          <w:b/>
          <w:u w:val="single"/>
        </w:rPr>
      </w:pPr>
    </w:p>
    <w:p w:rsidR="00486A18" w:rsidRDefault="00486A18" w:rsidP="00AF4AA3">
      <w:pPr>
        <w:ind w:right="878"/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C27F8A" w:rsidRDefault="00C27F8A" w:rsidP="00110CE5">
      <w:pPr>
        <w:jc w:val="both"/>
        <w:rPr>
          <w:b/>
          <w:u w:val="single"/>
        </w:rPr>
      </w:pPr>
      <w:r>
        <w:rPr>
          <w:b/>
        </w:rPr>
        <w:t>1.daļa</w:t>
      </w:r>
      <w:r w:rsidR="00C93A40" w:rsidRPr="00C93A40">
        <w:t xml:space="preserve"> </w:t>
      </w:r>
      <w:r w:rsidR="00C93A40" w:rsidRPr="00C93A40">
        <w:rPr>
          <w:b/>
        </w:rPr>
        <w:t>“Būvprojekta izstrāde (ietverot inženierizpēti) projektam “Gājēju – veloceliņa izbūve Staļģenē”</w:t>
      </w:r>
      <w:r w:rsidR="00125DB4">
        <w:rPr>
          <w:b/>
        </w:rPr>
        <w:t>”</w:t>
      </w:r>
      <w:r w:rsidR="00C93A40">
        <w:rPr>
          <w:b/>
        </w:rPr>
        <w:t>:</w:t>
      </w:r>
    </w:p>
    <w:p w:rsidR="00110CE5" w:rsidRPr="00125DB4" w:rsidRDefault="00110CE5" w:rsidP="00110CE5">
      <w:pPr>
        <w:jc w:val="both"/>
        <w:rPr>
          <w:u w:val="single"/>
        </w:rPr>
      </w:pPr>
      <w:r w:rsidRPr="00125DB4">
        <w:rPr>
          <w:u w:val="single"/>
        </w:rPr>
        <w:t xml:space="preserve">Pretendents, ar kuru nolemts slēgt iepirkuma līgumu un līgumcena: </w:t>
      </w:r>
    </w:p>
    <w:p w:rsidR="0080793D" w:rsidRDefault="00181BF6" w:rsidP="005E539F"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4045E" w:rsidRPr="00B4045E">
        <w:t>SIA”</w:t>
      </w:r>
      <w:r w:rsidR="00C93A40">
        <w:t>3C</w:t>
      </w:r>
      <w:r w:rsidR="00B4045E" w:rsidRPr="00B4045E">
        <w:t>”</w:t>
      </w:r>
      <w:r w:rsidR="003C0F92">
        <w:t>,</w:t>
      </w:r>
      <w:r w:rsidR="00717283" w:rsidRPr="00717283">
        <w:t xml:space="preserve"> juridiskā adrese:</w:t>
      </w:r>
      <w:r w:rsidR="00B4045E">
        <w:t xml:space="preserve"> </w:t>
      </w:r>
      <w:r w:rsidR="00ED43FB">
        <w:t>P.Lejiņa iela 2</w:t>
      </w:r>
      <w:r w:rsidR="0004699E">
        <w:t>,</w:t>
      </w:r>
      <w:r w:rsidR="00ED43FB">
        <w:t xml:space="preserve"> Jelgava, LV-3004,</w:t>
      </w:r>
      <w:r w:rsidR="0004699E">
        <w:t xml:space="preserve"> reģistrācijas Nr. </w:t>
      </w:r>
      <w:r w:rsidR="00ED43FB">
        <w:t>43603014135</w:t>
      </w:r>
      <w:r w:rsidR="000A12BA">
        <w:t>,</w:t>
      </w:r>
      <w:r w:rsidR="00D355E6">
        <w:t xml:space="preserve">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C93A40">
        <w:t>2800</w:t>
      </w:r>
      <w:r w:rsidR="00B1776B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5E539F"/>
    <w:p w:rsidR="006E4ED6" w:rsidRDefault="006E4ED6" w:rsidP="005E539F">
      <w:bookmarkStart w:id="0" w:name="_GoBack"/>
      <w:bookmarkEnd w:id="0"/>
    </w:p>
    <w:p w:rsidR="00FD5445" w:rsidRDefault="00FD5445" w:rsidP="00FD5445">
      <w:pPr>
        <w:jc w:val="both"/>
        <w:rPr>
          <w:b/>
          <w:u w:val="single"/>
        </w:rPr>
      </w:pPr>
      <w:r>
        <w:rPr>
          <w:b/>
        </w:rPr>
        <w:t>2.daļa</w:t>
      </w:r>
      <w:r w:rsidRPr="00C27F8A">
        <w:rPr>
          <w:b/>
        </w:rPr>
        <w:t>”</w:t>
      </w:r>
      <w:r w:rsidR="00125DB4" w:rsidRPr="00125DB4">
        <w:t xml:space="preserve"> </w:t>
      </w:r>
      <w:r w:rsidR="00125DB4" w:rsidRPr="00125DB4">
        <w:rPr>
          <w:b/>
        </w:rPr>
        <w:t>Būvprojekta izstrāde (ietverot inženierizpēti) projektam “Gājēju – veloceliņa izbūve Sesavas pagastā</w:t>
      </w:r>
      <w:r w:rsidRPr="00EB4098">
        <w:rPr>
          <w:b/>
        </w:rPr>
        <w:t>”</w:t>
      </w:r>
      <w:r w:rsidR="00125DB4">
        <w:rPr>
          <w:b/>
        </w:rPr>
        <w:t>”:</w:t>
      </w:r>
    </w:p>
    <w:p w:rsidR="00FD5445" w:rsidRPr="00125DB4" w:rsidRDefault="00FD5445" w:rsidP="00FD5445">
      <w:pPr>
        <w:jc w:val="both"/>
        <w:rPr>
          <w:u w:val="single"/>
        </w:rPr>
      </w:pPr>
      <w:r w:rsidRPr="00125DB4">
        <w:rPr>
          <w:u w:val="single"/>
        </w:rPr>
        <w:t xml:space="preserve">Pretendents, ar kuru nolemts slēgt iepirkuma līgumu un līgumcena: </w:t>
      </w:r>
    </w:p>
    <w:p w:rsidR="00125DB4" w:rsidRPr="00125DB4" w:rsidRDefault="00125DB4" w:rsidP="00125DB4">
      <w:r w:rsidRPr="00125DB4">
        <w:t>Līguma slēgšanas tiesības tiek piešķirtas – SIA”3C</w:t>
      </w:r>
      <w:r w:rsidR="000A12BA">
        <w:t xml:space="preserve">” </w:t>
      </w:r>
      <w:r w:rsidRPr="00125DB4">
        <w:t xml:space="preserve">par kopējo līgumcenu EUR </w:t>
      </w:r>
      <w:r w:rsidR="000A12BA">
        <w:t>4705</w:t>
      </w:r>
      <w:r w:rsidRPr="00125DB4">
        <w:t xml:space="preserve"> bez PVN.</w:t>
      </w:r>
    </w:p>
    <w:p w:rsidR="00FD5445" w:rsidRDefault="00FD5445" w:rsidP="00125DB4">
      <w:pPr>
        <w:jc w:val="both"/>
      </w:pPr>
    </w:p>
    <w:p w:rsidR="00AB5015" w:rsidRDefault="00AB5015" w:rsidP="00AB5015">
      <w:pPr>
        <w:jc w:val="both"/>
        <w:rPr>
          <w:b/>
        </w:rPr>
      </w:pPr>
    </w:p>
    <w:p w:rsidR="00AB5015" w:rsidRDefault="00AB5015" w:rsidP="00AB5015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7817CC" w:rsidRDefault="007817CC" w:rsidP="00FE0390">
      <w:pPr>
        <w:jc w:val="both"/>
      </w:pPr>
    </w:p>
    <w:p w:rsidR="00B1776B" w:rsidRPr="0006019A" w:rsidRDefault="00B1776B" w:rsidP="00B177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1776B" w:rsidRDefault="00B1776B" w:rsidP="00B1776B"/>
    <w:p w:rsidR="00B1776B" w:rsidRPr="0006019A" w:rsidRDefault="00B1776B" w:rsidP="00B177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1776B" w:rsidRPr="0006019A" w:rsidRDefault="00B1776B" w:rsidP="00B1776B"/>
    <w:p w:rsidR="00B1776B" w:rsidRPr="0006019A" w:rsidRDefault="00B1776B" w:rsidP="00B1776B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1776B" w:rsidRPr="0006019A" w:rsidRDefault="00B1776B" w:rsidP="00B1776B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1776B" w:rsidRPr="0006019A" w:rsidRDefault="00B1776B" w:rsidP="00B1776B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B1776B" w:rsidRPr="0006019A" w:rsidRDefault="00B1776B" w:rsidP="00B1776B"/>
    <w:p w:rsidR="00B1776B" w:rsidRDefault="00B1776B" w:rsidP="00B177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B1776B" w:rsidRPr="0006019A" w:rsidRDefault="00B1776B" w:rsidP="00B1776B">
      <w:r w:rsidRPr="0006019A">
        <w:tab/>
        <w:t xml:space="preserve">            </w:t>
      </w:r>
    </w:p>
    <w:p w:rsidR="00B1776B" w:rsidRDefault="00B1776B" w:rsidP="00B1776B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</w:t>
      </w: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E4ED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ED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E4ED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12BA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25DB4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1312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539F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E4ED6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2758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C03685"/>
    <w:rsid w:val="00C147FB"/>
    <w:rsid w:val="00C27F8A"/>
    <w:rsid w:val="00C320F0"/>
    <w:rsid w:val="00C87252"/>
    <w:rsid w:val="00C90444"/>
    <w:rsid w:val="00C93A40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D43FB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D7AE7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 Char Char Rakstz. Rakstz. Char Char Rakstz. Rakstz."/>
    <w:basedOn w:val="Normal"/>
    <w:rsid w:val="00C93A4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 Char Char Rakstz. Rakstz. Char Char Rakstz. Rakstz."/>
    <w:basedOn w:val="Normal"/>
    <w:rsid w:val="00C93A4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CB2C-C607-4C62-9598-13826C5F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139</cp:revision>
  <cp:lastPrinted>2014-09-30T10:17:00Z</cp:lastPrinted>
  <dcterms:created xsi:type="dcterms:W3CDTF">2015-01-08T08:53:00Z</dcterms:created>
  <dcterms:modified xsi:type="dcterms:W3CDTF">2016-10-03T08:20:00Z</dcterms:modified>
</cp:coreProperties>
</file>